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B7BB" w14:textId="0CCC8957" w:rsidR="00CF11EA" w:rsidRDefault="00CF11EA" w:rsidP="00B95D58">
      <w:pPr>
        <w:pBdr>
          <w:bottom w:val="single" w:sz="4" w:space="1" w:color="auto"/>
        </w:pBdr>
        <w:tabs>
          <w:tab w:val="right" w:pos="6625"/>
        </w:tabs>
        <w:jc w:val="left"/>
        <w:rPr>
          <w:rFonts w:asciiTheme="majorHAnsi" w:hAnsiTheme="majorHAnsi" w:cstheme="majorHAnsi"/>
          <w:b/>
          <w:bCs/>
          <w:color w:val="ED7D31" w:themeColor="accent2"/>
          <w:sz w:val="32"/>
          <w:szCs w:val="32"/>
        </w:rPr>
      </w:pPr>
      <w:r>
        <w:rPr>
          <w:rFonts w:asciiTheme="majorHAnsi" w:hAnsiTheme="majorHAnsi" w:cstheme="majorHAnsi"/>
          <w:b/>
          <w:bCs/>
          <w:color w:val="ED7D31" w:themeColor="accent2"/>
          <w:sz w:val="32"/>
          <w:szCs w:val="32"/>
        </w:rPr>
        <w:t>Health Effects of Air Pollutant</w:t>
      </w:r>
      <w:r w:rsidR="00B0484F">
        <w:rPr>
          <w:rFonts w:asciiTheme="majorHAnsi" w:hAnsiTheme="majorHAnsi" w:cstheme="majorHAnsi"/>
          <w:b/>
          <w:bCs/>
          <w:color w:val="ED7D31" w:themeColor="accent2"/>
          <w:sz w:val="32"/>
          <w:szCs w:val="32"/>
        </w:rPr>
        <w:t xml:space="preserve"> Factsheets</w:t>
      </w:r>
      <w:r>
        <w:rPr>
          <w:rFonts w:asciiTheme="majorHAnsi" w:hAnsiTheme="majorHAnsi" w:cstheme="majorHAnsi"/>
          <w:b/>
          <w:bCs/>
          <w:color w:val="ED7D31" w:themeColor="accent2"/>
          <w:sz w:val="32"/>
          <w:szCs w:val="32"/>
        </w:rPr>
        <w:t>:</w:t>
      </w:r>
    </w:p>
    <w:p w14:paraId="0467672C" w14:textId="12642B22" w:rsidR="00B0484F" w:rsidRDefault="00CF11EA" w:rsidP="00B95D58">
      <w:pPr>
        <w:pBdr>
          <w:bottom w:val="single" w:sz="4" w:space="1" w:color="auto"/>
        </w:pBdr>
        <w:tabs>
          <w:tab w:val="right" w:pos="6625"/>
        </w:tabs>
        <w:jc w:val="left"/>
        <w:rPr>
          <w:color w:val="595959" w:themeColor="text1" w:themeTint="A6"/>
          <w:sz w:val="16"/>
          <w:szCs w:val="16"/>
        </w:rPr>
      </w:pPr>
      <w:r>
        <w:rPr>
          <w:rFonts w:asciiTheme="majorHAnsi" w:hAnsiTheme="majorHAnsi" w:cstheme="majorHAnsi"/>
          <w:b/>
          <w:bCs/>
          <w:color w:val="ED7D31" w:themeColor="accent2"/>
          <w:sz w:val="32"/>
          <w:szCs w:val="32"/>
        </w:rPr>
        <w:t>Supporting Information</w:t>
      </w:r>
      <w:r w:rsidR="00B0484F">
        <w:tab/>
      </w:r>
      <w:r w:rsidR="00204A89">
        <w:rPr>
          <w:b/>
          <w:bCs/>
          <w:color w:val="595959" w:themeColor="text1" w:themeTint="A6"/>
          <w:sz w:val="16"/>
          <w:szCs w:val="16"/>
        </w:rPr>
        <w:t>October</w:t>
      </w:r>
      <w:r w:rsidR="00B0484F" w:rsidRPr="00155BE6">
        <w:rPr>
          <w:b/>
          <w:bCs/>
          <w:color w:val="595959" w:themeColor="text1" w:themeTint="A6"/>
          <w:sz w:val="16"/>
          <w:szCs w:val="16"/>
        </w:rPr>
        <w:t xml:space="preserve"> 2022</w:t>
      </w:r>
    </w:p>
    <w:p w14:paraId="57F2B54E" w14:textId="77777777" w:rsidR="00B95D58" w:rsidRDefault="00B95D58" w:rsidP="00B95D58">
      <w:pPr>
        <w:ind w:right="-29"/>
        <w:rPr>
          <w:rFonts w:ascii="Calibri Light" w:eastAsia="MS Mincho" w:hAnsi="Calibri Light" w:cs="Calibri Light"/>
          <w:i/>
          <w:iCs/>
          <w:sz w:val="18"/>
          <w:szCs w:val="18"/>
        </w:rPr>
      </w:pPr>
    </w:p>
    <w:p w14:paraId="07DDF550" w14:textId="02E9A1D9" w:rsidR="00B95D58" w:rsidRDefault="00B0484F" w:rsidP="00B95D58">
      <w:pPr>
        <w:ind w:right="-29"/>
        <w:rPr>
          <w:rFonts w:ascii="Calibri Light" w:eastAsia="MS Mincho" w:hAnsi="Calibri Light" w:cs="Calibri Light"/>
          <w:i/>
          <w:iCs/>
          <w:sz w:val="18"/>
          <w:szCs w:val="18"/>
        </w:rPr>
      </w:pPr>
      <w:r w:rsidRPr="00A005BB">
        <w:rPr>
          <w:rFonts w:ascii="Calibri Light" w:eastAsia="MS Mincho" w:hAnsi="Calibri Light" w:cs="Calibri Light"/>
          <w:i/>
          <w:iCs/>
          <w:sz w:val="18"/>
          <w:szCs w:val="18"/>
        </w:rPr>
        <w:t>Air pollution is a major hazard to human health and a leading cause of illness and death</w:t>
      </w:r>
      <w:r>
        <w:rPr>
          <w:rFonts w:ascii="Calibri Light" w:eastAsia="MS Mincho" w:hAnsi="Calibri Light" w:cs="Calibri Light"/>
          <w:i/>
          <w:iCs/>
          <w:sz w:val="18"/>
          <w:szCs w:val="18"/>
        </w:rPr>
        <w:t>.</w:t>
      </w:r>
      <w:r w:rsidRPr="00A005BB">
        <w:rPr>
          <w:rFonts w:ascii="Calibri Light" w:eastAsia="MS Mincho" w:hAnsi="Calibri Light" w:cs="Calibri Light"/>
          <w:i/>
          <w:iCs/>
          <w:sz w:val="18"/>
          <w:szCs w:val="18"/>
        </w:rPr>
        <w:t xml:space="preserve"> </w:t>
      </w:r>
      <w:r>
        <w:rPr>
          <w:rFonts w:ascii="Calibri Light" w:eastAsia="MS Mincho" w:hAnsi="Calibri Light" w:cs="Calibri Light"/>
          <w:i/>
          <w:iCs/>
          <w:sz w:val="18"/>
          <w:szCs w:val="18"/>
        </w:rPr>
        <w:t>I</w:t>
      </w:r>
      <w:r w:rsidR="00B43DD8" w:rsidRPr="0054235D">
        <w:rPr>
          <w:rFonts w:ascii="Calibri Light" w:eastAsia="MS Mincho" w:hAnsi="Calibri Light" w:cs="Calibri Light"/>
          <w:i/>
          <w:iCs/>
          <w:sz w:val="18"/>
          <w:szCs w:val="18"/>
        </w:rPr>
        <w:t>n 20</w:t>
      </w:r>
      <w:r w:rsidR="00B43DD8">
        <w:rPr>
          <w:rFonts w:ascii="Calibri Light" w:eastAsia="MS Mincho" w:hAnsi="Calibri Light" w:cs="Calibri Light"/>
          <w:i/>
          <w:iCs/>
          <w:sz w:val="18"/>
          <w:szCs w:val="18"/>
        </w:rPr>
        <w:t>21</w:t>
      </w:r>
      <w:r w:rsidR="00B43DD8" w:rsidRPr="0054235D">
        <w:rPr>
          <w:rFonts w:ascii="Calibri Light" w:eastAsia="MS Mincho" w:hAnsi="Calibri Light" w:cs="Calibri Light"/>
          <w:i/>
          <w:iCs/>
          <w:sz w:val="18"/>
          <w:szCs w:val="18"/>
        </w:rPr>
        <w:t>, the World Health Organi</w:t>
      </w:r>
      <w:r w:rsidR="00204A89">
        <w:rPr>
          <w:rFonts w:ascii="Calibri Light" w:eastAsia="MS Mincho" w:hAnsi="Calibri Light" w:cs="Calibri Light"/>
          <w:i/>
          <w:iCs/>
          <w:sz w:val="18"/>
          <w:szCs w:val="18"/>
        </w:rPr>
        <w:t>s</w:t>
      </w:r>
      <w:r w:rsidR="00B43DD8" w:rsidRPr="0054235D">
        <w:rPr>
          <w:rFonts w:ascii="Calibri Light" w:eastAsia="MS Mincho" w:hAnsi="Calibri Light" w:cs="Calibri Light"/>
          <w:i/>
          <w:iCs/>
          <w:sz w:val="18"/>
          <w:szCs w:val="18"/>
        </w:rPr>
        <w:t>ation (</w:t>
      </w:r>
      <w:r w:rsidR="00B43DD8" w:rsidRPr="008D3491">
        <w:rPr>
          <w:rFonts w:ascii="Calibri Light" w:eastAsia="MS Mincho" w:hAnsi="Calibri Light" w:cs="Calibri Light"/>
          <w:i/>
          <w:iCs/>
          <w:sz w:val="18"/>
          <w:szCs w:val="18"/>
        </w:rPr>
        <w:t>WHO</w:t>
      </w:r>
      <w:r w:rsidR="00B43DD8" w:rsidRPr="0054235D">
        <w:rPr>
          <w:rFonts w:ascii="Calibri Light" w:eastAsia="MS Mincho" w:hAnsi="Calibri Light" w:cs="Calibri Light"/>
          <w:i/>
          <w:iCs/>
          <w:sz w:val="18"/>
          <w:szCs w:val="18"/>
        </w:rPr>
        <w:t xml:space="preserve">) </w:t>
      </w:r>
      <w:r w:rsidR="00B43DD8">
        <w:rPr>
          <w:rFonts w:ascii="Calibri Light" w:eastAsia="MS Mincho" w:hAnsi="Calibri Light" w:cs="Calibri Light"/>
          <w:i/>
          <w:iCs/>
          <w:sz w:val="18"/>
          <w:szCs w:val="18"/>
        </w:rPr>
        <w:t xml:space="preserve">published revised </w:t>
      </w:r>
      <w:r w:rsidR="00AE0122">
        <w:rPr>
          <w:rFonts w:ascii="Calibri Light" w:eastAsia="MS Mincho" w:hAnsi="Calibri Light" w:cs="Calibri Light"/>
          <w:i/>
          <w:iCs/>
          <w:sz w:val="18"/>
          <w:szCs w:val="18"/>
        </w:rPr>
        <w:t xml:space="preserve">global </w:t>
      </w:r>
      <w:r w:rsidR="00B43DD8" w:rsidRPr="0054235D">
        <w:rPr>
          <w:rFonts w:ascii="Calibri Light" w:eastAsia="MS Mincho" w:hAnsi="Calibri Light" w:cs="Calibri Light"/>
          <w:i/>
          <w:iCs/>
          <w:sz w:val="18"/>
          <w:szCs w:val="18"/>
        </w:rPr>
        <w:t xml:space="preserve">air quality </w:t>
      </w:r>
      <w:r w:rsidR="00AE0122">
        <w:rPr>
          <w:rFonts w:ascii="Calibri Light" w:eastAsia="MS Mincho" w:hAnsi="Calibri Light" w:cs="Calibri Light"/>
          <w:i/>
          <w:iCs/>
          <w:sz w:val="18"/>
          <w:szCs w:val="18"/>
        </w:rPr>
        <w:t xml:space="preserve">guidelines </w:t>
      </w:r>
      <w:r w:rsidR="00AE0122" w:rsidRPr="00AE0122">
        <w:rPr>
          <w:rFonts w:ascii="Calibri Light" w:eastAsia="MS Mincho" w:hAnsi="Calibri Light" w:cs="Calibri Light"/>
          <w:i/>
          <w:iCs/>
          <w:sz w:val="18"/>
          <w:szCs w:val="18"/>
        </w:rPr>
        <w:t xml:space="preserve">to offer quantitative, health-based recommendations for air quality management </w:t>
      </w:r>
      <w:r w:rsidR="00B43DD8" w:rsidRPr="0054235D">
        <w:rPr>
          <w:rFonts w:ascii="Calibri Light" w:eastAsia="MS Mincho" w:hAnsi="Calibri Light" w:cs="Calibri Light"/>
          <w:i/>
          <w:iCs/>
          <w:sz w:val="18"/>
          <w:szCs w:val="18"/>
        </w:rPr>
        <w:t>(WHO 20</w:t>
      </w:r>
      <w:r w:rsidR="00B43DD8">
        <w:rPr>
          <w:rFonts w:ascii="Calibri Light" w:eastAsia="MS Mincho" w:hAnsi="Calibri Light" w:cs="Calibri Light"/>
          <w:i/>
          <w:iCs/>
          <w:sz w:val="18"/>
          <w:szCs w:val="18"/>
        </w:rPr>
        <w:t>21</w:t>
      </w:r>
      <w:r w:rsidR="00B43DD8" w:rsidRPr="0054235D">
        <w:rPr>
          <w:rFonts w:ascii="Calibri Light" w:eastAsia="MS Mincho" w:hAnsi="Calibri Light" w:cs="Calibri Light"/>
          <w:i/>
          <w:iCs/>
          <w:sz w:val="18"/>
          <w:szCs w:val="18"/>
        </w:rPr>
        <w:t xml:space="preserve">). </w:t>
      </w:r>
    </w:p>
    <w:p w14:paraId="50D5111B" w14:textId="2F55C11B" w:rsidR="001A05EE" w:rsidRDefault="00B43DD8" w:rsidP="00B95D58">
      <w:pPr>
        <w:ind w:right="-29"/>
        <w:rPr>
          <w:rFonts w:ascii="Calibri Light" w:eastAsia="MS Mincho" w:hAnsi="Calibri Light" w:cs="Calibri Light"/>
          <w:i/>
          <w:iCs/>
          <w:sz w:val="18"/>
          <w:szCs w:val="18"/>
        </w:rPr>
      </w:pPr>
      <w:r w:rsidRPr="0054235D">
        <w:rPr>
          <w:rFonts w:ascii="Calibri Light" w:eastAsia="MS Mincho" w:hAnsi="Calibri Light" w:cs="Calibri Light"/>
          <w:i/>
          <w:iCs/>
          <w:sz w:val="18"/>
          <w:szCs w:val="18"/>
        </w:rPr>
        <w:t>To support this update,</w:t>
      </w:r>
      <w:r>
        <w:rPr>
          <w:rFonts w:ascii="Calibri Light" w:eastAsia="MS Mincho" w:hAnsi="Calibri Light" w:cs="Calibri Light"/>
          <w:i/>
          <w:iCs/>
          <w:sz w:val="18"/>
          <w:szCs w:val="18"/>
        </w:rPr>
        <w:t xml:space="preserve"> </w:t>
      </w:r>
      <w:r w:rsidRPr="0054235D">
        <w:rPr>
          <w:rFonts w:ascii="Calibri Light" w:eastAsia="MS Mincho" w:hAnsi="Calibri Light" w:cs="Calibri Light"/>
          <w:i/>
          <w:iCs/>
          <w:sz w:val="18"/>
          <w:szCs w:val="18"/>
        </w:rPr>
        <w:t>WHO published a</w:t>
      </w:r>
      <w:r w:rsidR="005631A8">
        <w:rPr>
          <w:rFonts w:ascii="Calibri Light" w:eastAsia="MS Mincho" w:hAnsi="Calibri Light" w:cs="Calibri Light"/>
          <w:i/>
          <w:iCs/>
          <w:sz w:val="18"/>
          <w:szCs w:val="18"/>
        </w:rPr>
        <w:t xml:space="preserve"> series of</w:t>
      </w:r>
      <w:r w:rsidRPr="0054235D">
        <w:rPr>
          <w:rFonts w:ascii="Calibri Light" w:eastAsia="MS Mincho" w:hAnsi="Calibri Light" w:cs="Calibri Light"/>
          <w:i/>
          <w:iCs/>
          <w:sz w:val="18"/>
          <w:szCs w:val="18"/>
        </w:rPr>
        <w:t xml:space="preserve"> review paper</w:t>
      </w:r>
      <w:r w:rsidR="005631A8">
        <w:rPr>
          <w:rFonts w:ascii="Calibri Light" w:eastAsia="MS Mincho" w:hAnsi="Calibri Light" w:cs="Calibri Light"/>
          <w:i/>
          <w:iCs/>
          <w:sz w:val="18"/>
          <w:szCs w:val="18"/>
        </w:rPr>
        <w:t>s</w:t>
      </w:r>
      <w:r w:rsidR="00AE0122">
        <w:rPr>
          <w:rFonts w:ascii="Calibri Light" w:eastAsia="MS Mincho" w:hAnsi="Calibri Light" w:cs="Calibri Light"/>
          <w:i/>
          <w:iCs/>
          <w:sz w:val="18"/>
          <w:szCs w:val="18"/>
        </w:rPr>
        <w:t xml:space="preserve"> </w:t>
      </w:r>
      <w:r w:rsidRPr="0054235D">
        <w:rPr>
          <w:rFonts w:ascii="Calibri Light" w:eastAsia="MS Mincho" w:hAnsi="Calibri Light" w:cs="Calibri Light"/>
          <w:i/>
          <w:iCs/>
          <w:sz w:val="18"/>
          <w:szCs w:val="18"/>
        </w:rPr>
        <w:t>evaluat</w:t>
      </w:r>
      <w:r>
        <w:rPr>
          <w:rFonts w:ascii="Calibri Light" w:eastAsia="MS Mincho" w:hAnsi="Calibri Light" w:cs="Calibri Light"/>
          <w:i/>
          <w:iCs/>
          <w:sz w:val="18"/>
          <w:szCs w:val="18"/>
        </w:rPr>
        <w:t>ing</w:t>
      </w:r>
      <w:r w:rsidRPr="0054235D">
        <w:rPr>
          <w:rFonts w:ascii="Calibri Light" w:eastAsia="MS Mincho" w:hAnsi="Calibri Light" w:cs="Calibri Light"/>
          <w:i/>
          <w:iCs/>
          <w:sz w:val="18"/>
          <w:szCs w:val="18"/>
        </w:rPr>
        <w:t xml:space="preserve"> the </w:t>
      </w:r>
      <w:r w:rsidR="00073446">
        <w:rPr>
          <w:rFonts w:ascii="Calibri Light" w:eastAsia="MS Mincho" w:hAnsi="Calibri Light" w:cs="Calibri Light"/>
          <w:i/>
          <w:iCs/>
          <w:sz w:val="18"/>
          <w:szCs w:val="18"/>
        </w:rPr>
        <w:t xml:space="preserve">best </w:t>
      </w:r>
      <w:r w:rsidRPr="0054235D">
        <w:rPr>
          <w:rFonts w:ascii="Calibri Light" w:eastAsia="MS Mincho" w:hAnsi="Calibri Light" w:cs="Calibri Light"/>
          <w:i/>
          <w:iCs/>
          <w:sz w:val="18"/>
          <w:szCs w:val="18"/>
        </w:rPr>
        <w:t xml:space="preserve">available evidence on the effects of </w:t>
      </w:r>
      <w:r w:rsidR="005631A8">
        <w:rPr>
          <w:rFonts w:ascii="Calibri Light" w:eastAsia="MS Mincho" w:hAnsi="Calibri Light" w:cs="Calibri Light"/>
          <w:i/>
          <w:iCs/>
          <w:sz w:val="18"/>
          <w:szCs w:val="18"/>
        </w:rPr>
        <w:t xml:space="preserve">air pollutants on </w:t>
      </w:r>
      <w:r w:rsidR="00DC389D">
        <w:rPr>
          <w:rFonts w:ascii="Calibri Light" w:eastAsia="MS Mincho" w:hAnsi="Calibri Light" w:cs="Calibri Light"/>
          <w:i/>
          <w:iCs/>
          <w:sz w:val="18"/>
          <w:szCs w:val="18"/>
        </w:rPr>
        <w:t>human health</w:t>
      </w:r>
      <w:r w:rsidR="00357602">
        <w:rPr>
          <w:rFonts w:ascii="Calibri Light" w:eastAsia="MS Mincho" w:hAnsi="Calibri Light" w:cs="Calibri Light"/>
          <w:i/>
          <w:iCs/>
          <w:sz w:val="18"/>
          <w:szCs w:val="18"/>
        </w:rPr>
        <w:t xml:space="preserve"> (Chen and Hoek 2020;</w:t>
      </w:r>
      <w:r w:rsidR="00D108DE" w:rsidRPr="00D108DE">
        <w:rPr>
          <w:rFonts w:ascii="Calibri Light" w:hAnsi="Calibri Light" w:cs="Calibri Light"/>
          <w:sz w:val="16"/>
          <w:szCs w:val="14"/>
        </w:rPr>
        <w:t xml:space="preserve"> </w:t>
      </w:r>
      <w:r w:rsidR="00D108DE" w:rsidRPr="00606F57">
        <w:rPr>
          <w:rFonts w:ascii="Calibri Light" w:hAnsi="Calibri Light" w:cs="Calibri Light"/>
          <w:i/>
          <w:iCs/>
          <w:sz w:val="18"/>
          <w:szCs w:val="18"/>
        </w:rPr>
        <w:t>Huangfu and Atkinson 2020; Lee et al</w:t>
      </w:r>
      <w:r w:rsidR="00204A89">
        <w:rPr>
          <w:rFonts w:ascii="Calibri Light" w:hAnsi="Calibri Light" w:cs="Calibri Light"/>
          <w:i/>
          <w:iCs/>
          <w:sz w:val="18"/>
          <w:szCs w:val="18"/>
        </w:rPr>
        <w:t>.</w:t>
      </w:r>
      <w:r w:rsidR="00D108DE" w:rsidRPr="00606F57">
        <w:rPr>
          <w:rFonts w:ascii="Calibri Light" w:hAnsi="Calibri Light" w:cs="Calibri Light"/>
          <w:i/>
          <w:iCs/>
          <w:sz w:val="18"/>
          <w:szCs w:val="18"/>
        </w:rPr>
        <w:t xml:space="preserve"> 2020</w:t>
      </w:r>
      <w:r w:rsidR="00606F57" w:rsidRPr="00606F57">
        <w:rPr>
          <w:rFonts w:ascii="Calibri Light" w:hAnsi="Calibri Light" w:cs="Calibri Light"/>
          <w:i/>
          <w:iCs/>
          <w:sz w:val="18"/>
          <w:szCs w:val="18"/>
        </w:rPr>
        <w:t>; Orellano et al</w:t>
      </w:r>
      <w:r w:rsidR="00204A89">
        <w:rPr>
          <w:rFonts w:ascii="Calibri Light" w:hAnsi="Calibri Light" w:cs="Calibri Light"/>
          <w:i/>
          <w:iCs/>
          <w:sz w:val="18"/>
          <w:szCs w:val="18"/>
        </w:rPr>
        <w:t>.</w:t>
      </w:r>
      <w:r w:rsidR="00606F57" w:rsidRPr="00606F57">
        <w:rPr>
          <w:rFonts w:ascii="Calibri Light" w:hAnsi="Calibri Light" w:cs="Calibri Light"/>
          <w:i/>
          <w:iCs/>
          <w:sz w:val="18"/>
          <w:szCs w:val="18"/>
        </w:rPr>
        <w:t xml:space="preserve"> 2020, Orellano et al</w:t>
      </w:r>
      <w:r w:rsidR="00204A89">
        <w:rPr>
          <w:rFonts w:ascii="Calibri Light" w:hAnsi="Calibri Light" w:cs="Calibri Light"/>
          <w:i/>
          <w:iCs/>
          <w:sz w:val="18"/>
          <w:szCs w:val="18"/>
        </w:rPr>
        <w:t>.</w:t>
      </w:r>
      <w:r w:rsidR="00606F57" w:rsidRPr="00606F57">
        <w:rPr>
          <w:rFonts w:ascii="Calibri Light" w:hAnsi="Calibri Light" w:cs="Calibri Light"/>
          <w:i/>
          <w:iCs/>
          <w:sz w:val="18"/>
          <w:szCs w:val="18"/>
        </w:rPr>
        <w:t xml:space="preserve"> 2021; Zheng et al</w:t>
      </w:r>
      <w:r w:rsidR="00204A89">
        <w:rPr>
          <w:rFonts w:ascii="Calibri Light" w:hAnsi="Calibri Light" w:cs="Calibri Light"/>
          <w:i/>
          <w:iCs/>
          <w:sz w:val="18"/>
          <w:szCs w:val="18"/>
        </w:rPr>
        <w:t>.</w:t>
      </w:r>
      <w:r w:rsidR="00606F57" w:rsidRPr="00606F57">
        <w:rPr>
          <w:rFonts w:ascii="Calibri Light" w:hAnsi="Calibri Light" w:cs="Calibri Light"/>
          <w:i/>
          <w:iCs/>
          <w:sz w:val="18"/>
          <w:szCs w:val="18"/>
        </w:rPr>
        <w:t xml:space="preserve"> 2021</w:t>
      </w:r>
      <w:r w:rsidR="00357602">
        <w:rPr>
          <w:rFonts w:ascii="Calibri Light" w:eastAsia="MS Mincho" w:hAnsi="Calibri Light" w:cs="Calibri Light"/>
          <w:i/>
          <w:iCs/>
          <w:sz w:val="18"/>
          <w:szCs w:val="18"/>
        </w:rPr>
        <w:t>)</w:t>
      </w:r>
      <w:r w:rsidR="00A71961">
        <w:rPr>
          <w:rFonts w:ascii="Calibri Light" w:eastAsia="MS Mincho" w:hAnsi="Calibri Light" w:cs="Calibri Light"/>
          <w:i/>
          <w:iCs/>
          <w:sz w:val="18"/>
          <w:szCs w:val="18"/>
        </w:rPr>
        <w:t xml:space="preserve">. </w:t>
      </w:r>
    </w:p>
    <w:p w14:paraId="643151E7" w14:textId="77777777" w:rsidR="00B95D58" w:rsidRDefault="00B95D58" w:rsidP="00B95D58">
      <w:pPr>
        <w:ind w:right="-29"/>
        <w:rPr>
          <w:rFonts w:ascii="Calibri Light" w:eastAsia="MS Mincho" w:hAnsi="Calibri Light" w:cs="Calibri Light"/>
          <w:i/>
          <w:iCs/>
          <w:sz w:val="18"/>
          <w:szCs w:val="18"/>
        </w:rPr>
      </w:pPr>
    </w:p>
    <w:p w14:paraId="5D3EF114" w14:textId="15226960" w:rsidR="00B43DD8" w:rsidRPr="0054235D" w:rsidRDefault="00A71961" w:rsidP="00B95D58">
      <w:pPr>
        <w:ind w:right="-29"/>
        <w:rPr>
          <w:rFonts w:ascii="Calibri Light" w:eastAsia="MS Mincho" w:hAnsi="Calibri Light" w:cs="Calibri Light"/>
          <w:i/>
          <w:iCs/>
          <w:sz w:val="18"/>
          <w:szCs w:val="18"/>
        </w:rPr>
      </w:pPr>
      <w:r>
        <w:rPr>
          <w:rFonts w:ascii="Calibri Light" w:eastAsia="MS Mincho" w:hAnsi="Calibri Light" w:cs="Calibri Light"/>
          <w:i/>
          <w:iCs/>
          <w:sz w:val="18"/>
          <w:szCs w:val="18"/>
        </w:rPr>
        <w:t xml:space="preserve">This factsheet provides additional </w:t>
      </w:r>
      <w:r w:rsidR="00AE0122">
        <w:rPr>
          <w:rFonts w:ascii="Calibri Light" w:eastAsia="MS Mincho" w:hAnsi="Calibri Light" w:cs="Calibri Light"/>
          <w:i/>
          <w:iCs/>
          <w:sz w:val="18"/>
          <w:szCs w:val="18"/>
        </w:rPr>
        <w:t xml:space="preserve">technical </w:t>
      </w:r>
      <w:r w:rsidR="0043214C">
        <w:rPr>
          <w:rFonts w:ascii="Calibri Light" w:eastAsia="MS Mincho" w:hAnsi="Calibri Light" w:cs="Calibri Light"/>
          <w:i/>
          <w:iCs/>
          <w:sz w:val="18"/>
          <w:szCs w:val="18"/>
        </w:rPr>
        <w:t xml:space="preserve">detail on </w:t>
      </w:r>
      <w:r>
        <w:rPr>
          <w:rFonts w:ascii="Calibri Light" w:eastAsia="MS Mincho" w:hAnsi="Calibri Light" w:cs="Calibri Light"/>
          <w:i/>
          <w:iCs/>
          <w:sz w:val="18"/>
          <w:szCs w:val="18"/>
        </w:rPr>
        <w:t>how the</w:t>
      </w:r>
      <w:r w:rsidR="00AE0122">
        <w:rPr>
          <w:rFonts w:ascii="Calibri Light" w:eastAsia="MS Mincho" w:hAnsi="Calibri Light" w:cs="Calibri Light"/>
          <w:i/>
          <w:iCs/>
          <w:sz w:val="18"/>
          <w:szCs w:val="18"/>
        </w:rPr>
        <w:t xml:space="preserve"> systematic</w:t>
      </w:r>
      <w:r>
        <w:rPr>
          <w:rFonts w:ascii="Calibri Light" w:eastAsia="MS Mincho" w:hAnsi="Calibri Light" w:cs="Calibri Light"/>
          <w:i/>
          <w:iCs/>
          <w:sz w:val="18"/>
          <w:szCs w:val="18"/>
        </w:rPr>
        <w:t xml:space="preserve"> </w:t>
      </w:r>
      <w:r w:rsidR="00AE0122">
        <w:rPr>
          <w:rFonts w:ascii="Calibri Light" w:eastAsia="MS Mincho" w:hAnsi="Calibri Light" w:cs="Calibri Light"/>
          <w:i/>
          <w:iCs/>
          <w:sz w:val="18"/>
          <w:szCs w:val="18"/>
        </w:rPr>
        <w:t>reviews informed the development of WHO’s revised global air quality guidelines.</w:t>
      </w:r>
    </w:p>
    <w:p w14:paraId="31FB2993" w14:textId="77777777" w:rsidR="00B43DD8" w:rsidRPr="00B43DD8" w:rsidRDefault="00B43DD8" w:rsidP="00204A89">
      <w:pPr>
        <w:spacing w:before="120" w:after="120"/>
        <w:rPr>
          <w:rFonts w:ascii="Calibri Light" w:hAnsi="Calibri Light" w:cs="Calibri Light"/>
          <w:color w:val="ED7D31" w:themeColor="accent2"/>
          <w:sz w:val="24"/>
          <w:szCs w:val="24"/>
        </w:rPr>
      </w:pPr>
      <w:r w:rsidRPr="00B43DD8">
        <w:rPr>
          <w:rFonts w:ascii="Calibri Light" w:hAnsi="Calibri Light" w:cs="Calibri Light"/>
          <w:b/>
          <w:bCs/>
          <w:color w:val="ED7D31" w:themeColor="accent2"/>
          <w:sz w:val="24"/>
          <w:szCs w:val="24"/>
        </w:rPr>
        <w:t>Background</w:t>
      </w:r>
    </w:p>
    <w:p w14:paraId="4071E509" w14:textId="19922CAD" w:rsidR="00B43DD8" w:rsidRDefault="00B43DD8" w:rsidP="00204A89">
      <w:pPr>
        <w:rPr>
          <w:rFonts w:ascii="Calibri Light" w:hAnsi="Calibri Light" w:cs="Calibri Light"/>
          <w:sz w:val="18"/>
          <w:szCs w:val="18"/>
        </w:rPr>
      </w:pPr>
      <w:r w:rsidRPr="00287268">
        <w:rPr>
          <w:rFonts w:ascii="Calibri Light" w:hAnsi="Calibri Light" w:cs="Calibri Light"/>
          <w:sz w:val="18"/>
          <w:szCs w:val="18"/>
        </w:rPr>
        <w:t xml:space="preserve">A </w:t>
      </w:r>
      <w:r w:rsidRPr="00287268">
        <w:rPr>
          <w:rFonts w:ascii="Calibri Light" w:hAnsi="Calibri Light" w:cs="Calibri Light"/>
          <w:i/>
          <w:iCs/>
          <w:sz w:val="18"/>
          <w:szCs w:val="18"/>
        </w:rPr>
        <w:t>systematic review</w:t>
      </w:r>
      <w:r w:rsidRPr="00287268">
        <w:rPr>
          <w:rFonts w:ascii="Calibri Light" w:hAnsi="Calibri Light" w:cs="Calibri Light"/>
          <w:sz w:val="18"/>
          <w:szCs w:val="18"/>
        </w:rPr>
        <w:t xml:space="preserve"> is a type of literature review that uses systematic methods to collect secondary data, critically appraise research studies and synthesise findings to answer the review question. </w:t>
      </w:r>
      <w:r w:rsidR="00204A89">
        <w:rPr>
          <w:rFonts w:ascii="Calibri Light" w:hAnsi="Calibri Light" w:cs="Calibri Light"/>
          <w:sz w:val="18"/>
          <w:szCs w:val="18"/>
        </w:rPr>
        <w:t xml:space="preserve"> </w:t>
      </w:r>
      <w:r w:rsidR="001A05EE">
        <w:rPr>
          <w:rFonts w:ascii="Calibri Light" w:hAnsi="Calibri Light" w:cs="Calibri Light"/>
          <w:sz w:val="18"/>
          <w:szCs w:val="18"/>
        </w:rPr>
        <w:t>For example, i</w:t>
      </w:r>
      <w:r w:rsidRPr="00287268">
        <w:rPr>
          <w:rFonts w:ascii="Calibri Light" w:hAnsi="Calibri Light" w:cs="Calibri Light"/>
          <w:sz w:val="18"/>
          <w:szCs w:val="18"/>
        </w:rPr>
        <w:t xml:space="preserve">n </w:t>
      </w:r>
      <w:r>
        <w:rPr>
          <w:rFonts w:ascii="Calibri Light" w:hAnsi="Calibri Light" w:cs="Calibri Light"/>
          <w:sz w:val="18"/>
          <w:szCs w:val="18"/>
        </w:rPr>
        <w:t xml:space="preserve">Zheng </w:t>
      </w:r>
      <w:r w:rsidR="001A05EE" w:rsidRPr="00204A89">
        <w:rPr>
          <w:rFonts w:ascii="Calibri Light" w:hAnsi="Calibri Light" w:cs="Calibri Light"/>
          <w:i/>
          <w:iCs/>
          <w:sz w:val="18"/>
          <w:szCs w:val="18"/>
        </w:rPr>
        <w:t>et al</w:t>
      </w:r>
      <w:r w:rsidR="001A05EE">
        <w:rPr>
          <w:rFonts w:ascii="Calibri Light" w:hAnsi="Calibri Light" w:cs="Calibri Light"/>
          <w:sz w:val="18"/>
          <w:szCs w:val="18"/>
        </w:rPr>
        <w:t>. 2021</w:t>
      </w:r>
      <w:r w:rsidRPr="00287268">
        <w:rPr>
          <w:rFonts w:ascii="Calibri Light" w:hAnsi="Calibri Light" w:cs="Calibri Light"/>
          <w:sz w:val="18"/>
          <w:szCs w:val="18"/>
        </w:rPr>
        <w:t>, the systematic review question was:</w:t>
      </w:r>
    </w:p>
    <w:p w14:paraId="6C6C71AB" w14:textId="77777777" w:rsidR="00B43DD8" w:rsidRPr="00287268" w:rsidRDefault="00B43DD8" w:rsidP="00204A89">
      <w:pPr>
        <w:rPr>
          <w:rFonts w:ascii="Calibri Light" w:hAnsi="Calibri Light" w:cs="Calibri Light"/>
          <w:sz w:val="18"/>
          <w:szCs w:val="18"/>
        </w:rPr>
      </w:pPr>
    </w:p>
    <w:p w14:paraId="1751A070" w14:textId="77777777" w:rsidR="00B43DD8" w:rsidRPr="00287268" w:rsidRDefault="00B43DD8" w:rsidP="00204A89">
      <w:pPr>
        <w:ind w:left="851" w:right="663"/>
        <w:rPr>
          <w:rFonts w:ascii="Calibri Light" w:hAnsi="Calibri Light" w:cs="Calibri Light"/>
          <w:sz w:val="18"/>
          <w:szCs w:val="18"/>
        </w:rPr>
      </w:pPr>
      <w:r w:rsidRPr="00287268">
        <w:rPr>
          <w:rFonts w:ascii="Calibri Light" w:hAnsi="Calibri Light" w:cs="Calibri Light"/>
          <w:sz w:val="18"/>
          <w:szCs w:val="18"/>
        </w:rPr>
        <w:t>“</w:t>
      </w:r>
      <w:r w:rsidRPr="00287268">
        <w:rPr>
          <w:rFonts w:ascii="Calibri Light" w:hAnsi="Calibri Light" w:cs="Calibri Light"/>
          <w:i/>
          <w:iCs/>
          <w:sz w:val="18"/>
          <w:szCs w:val="18"/>
        </w:rPr>
        <w:t>What is the</w:t>
      </w:r>
      <w:r>
        <w:rPr>
          <w:rFonts w:ascii="Calibri Light" w:hAnsi="Calibri Light" w:cs="Calibri Light"/>
          <w:i/>
          <w:iCs/>
          <w:sz w:val="18"/>
          <w:szCs w:val="18"/>
        </w:rPr>
        <w:t xml:space="preserve"> effect of </w:t>
      </w:r>
      <w:r w:rsidRPr="00287268">
        <w:rPr>
          <w:rFonts w:ascii="Calibri Light" w:hAnsi="Calibri Light" w:cs="Calibri Light"/>
          <w:i/>
          <w:iCs/>
          <w:sz w:val="18"/>
          <w:szCs w:val="18"/>
        </w:rPr>
        <w:t xml:space="preserve">short-term exposure to </w:t>
      </w:r>
      <w:r>
        <w:rPr>
          <w:rFonts w:ascii="Calibri Light" w:hAnsi="Calibri Light" w:cs="Calibri Light"/>
          <w:i/>
          <w:iCs/>
          <w:sz w:val="18"/>
          <w:szCs w:val="18"/>
        </w:rPr>
        <w:t>N</w:t>
      </w:r>
      <w:r w:rsidRPr="00287268">
        <w:rPr>
          <w:rFonts w:ascii="Calibri Light" w:hAnsi="Calibri Light" w:cs="Calibri Light"/>
          <w:i/>
          <w:iCs/>
          <w:sz w:val="18"/>
          <w:szCs w:val="18"/>
        </w:rPr>
        <w:t>O</w:t>
      </w:r>
      <w:r w:rsidRPr="00287268">
        <w:rPr>
          <w:rFonts w:ascii="Calibri Light" w:hAnsi="Calibri Light" w:cs="Calibri Light"/>
          <w:i/>
          <w:iCs/>
          <w:sz w:val="18"/>
          <w:szCs w:val="18"/>
          <w:vertAlign w:val="subscript"/>
        </w:rPr>
        <w:t>2</w:t>
      </w:r>
      <w:r w:rsidRPr="00287268">
        <w:rPr>
          <w:rFonts w:ascii="Calibri Light" w:hAnsi="Calibri Light" w:cs="Calibri Light"/>
          <w:i/>
          <w:iCs/>
          <w:sz w:val="18"/>
          <w:szCs w:val="18"/>
        </w:rPr>
        <w:t xml:space="preserve"> </w:t>
      </w:r>
      <w:r>
        <w:rPr>
          <w:rFonts w:ascii="Calibri Light" w:hAnsi="Calibri Light" w:cs="Calibri Light"/>
          <w:i/>
          <w:iCs/>
          <w:sz w:val="18"/>
          <w:szCs w:val="18"/>
        </w:rPr>
        <w:t>and S</w:t>
      </w:r>
      <w:r w:rsidRPr="00287268">
        <w:rPr>
          <w:rFonts w:ascii="Calibri Light" w:hAnsi="Calibri Light" w:cs="Calibri Light"/>
          <w:i/>
          <w:iCs/>
          <w:sz w:val="18"/>
          <w:szCs w:val="18"/>
        </w:rPr>
        <w:t>O</w:t>
      </w:r>
      <w:r w:rsidRPr="00287268">
        <w:rPr>
          <w:rFonts w:ascii="Calibri Light" w:hAnsi="Calibri Light" w:cs="Calibri Light"/>
          <w:i/>
          <w:iCs/>
          <w:sz w:val="18"/>
          <w:szCs w:val="18"/>
          <w:vertAlign w:val="subscript"/>
        </w:rPr>
        <w:t>2</w:t>
      </w:r>
      <w:r w:rsidRPr="00287268">
        <w:rPr>
          <w:rFonts w:ascii="Calibri Light" w:hAnsi="Calibri Light" w:cs="Calibri Light"/>
          <w:i/>
          <w:iCs/>
          <w:sz w:val="18"/>
          <w:szCs w:val="18"/>
        </w:rPr>
        <w:t xml:space="preserve"> on </w:t>
      </w:r>
      <w:r>
        <w:rPr>
          <w:rFonts w:ascii="Calibri Light" w:hAnsi="Calibri Light" w:cs="Calibri Light"/>
          <w:i/>
          <w:iCs/>
          <w:sz w:val="18"/>
          <w:szCs w:val="18"/>
        </w:rPr>
        <w:t>emergency room visits and hospitalisations due to asthma</w:t>
      </w:r>
      <w:r w:rsidRPr="00287268">
        <w:rPr>
          <w:rFonts w:ascii="Calibri Light" w:hAnsi="Calibri Light" w:cs="Calibri Light"/>
          <w:i/>
          <w:iCs/>
          <w:sz w:val="18"/>
          <w:szCs w:val="18"/>
        </w:rPr>
        <w:t>?</w:t>
      </w:r>
      <w:r w:rsidRPr="00287268">
        <w:rPr>
          <w:rFonts w:ascii="Calibri Light" w:hAnsi="Calibri Light" w:cs="Calibri Light"/>
          <w:sz w:val="18"/>
          <w:szCs w:val="18"/>
        </w:rPr>
        <w:t>”</w:t>
      </w:r>
    </w:p>
    <w:p w14:paraId="3184B125" w14:textId="77777777" w:rsidR="00B43DD8" w:rsidRDefault="00B43DD8" w:rsidP="00204A89">
      <w:pPr>
        <w:rPr>
          <w:rFonts w:ascii="Calibri Light" w:hAnsi="Calibri Light" w:cs="Calibri Light"/>
          <w:sz w:val="18"/>
          <w:szCs w:val="18"/>
        </w:rPr>
      </w:pPr>
    </w:p>
    <w:p w14:paraId="4A8CA4B8" w14:textId="21668F61" w:rsidR="00B43DD8" w:rsidRPr="00287268" w:rsidRDefault="00B43DD8" w:rsidP="00204A89">
      <w:pPr>
        <w:rPr>
          <w:rFonts w:ascii="Calibri Light" w:hAnsi="Calibri Light" w:cs="Calibri Light"/>
          <w:sz w:val="18"/>
          <w:szCs w:val="18"/>
        </w:rPr>
      </w:pPr>
      <w:r>
        <w:rPr>
          <w:rFonts w:ascii="Calibri Light" w:hAnsi="Calibri Light" w:cs="Calibri Light"/>
          <w:sz w:val="18"/>
          <w:szCs w:val="18"/>
        </w:rPr>
        <w:t>Zheng</w:t>
      </w:r>
      <w:r w:rsidRPr="00287268">
        <w:rPr>
          <w:rFonts w:ascii="Calibri Light" w:hAnsi="Calibri Light" w:cs="Calibri Light"/>
          <w:sz w:val="18"/>
          <w:szCs w:val="18"/>
        </w:rPr>
        <w:t xml:space="preserve"> and fellow researchers undertook a </w:t>
      </w:r>
      <w:r w:rsidRPr="00287268">
        <w:rPr>
          <w:rFonts w:ascii="Calibri Light" w:hAnsi="Calibri Light" w:cs="Calibri Light"/>
          <w:i/>
          <w:iCs/>
          <w:sz w:val="18"/>
          <w:szCs w:val="18"/>
        </w:rPr>
        <w:t>meta-analysis</w:t>
      </w:r>
      <w:r w:rsidRPr="00287268">
        <w:rPr>
          <w:rFonts w:ascii="Calibri Light" w:hAnsi="Calibri Light" w:cs="Calibri Light"/>
          <w:sz w:val="18"/>
          <w:szCs w:val="18"/>
        </w:rPr>
        <w:t xml:space="preserve"> of current air pollution epidemiology studies for short-term air pollution exposure</w:t>
      </w:r>
      <w:r w:rsidR="00BF4A0F">
        <w:rPr>
          <w:rFonts w:ascii="Calibri Light" w:hAnsi="Calibri Light" w:cs="Calibri Light"/>
          <w:sz w:val="18"/>
          <w:szCs w:val="18"/>
        </w:rPr>
        <w:t xml:space="preserve"> to NO</w:t>
      </w:r>
      <w:r w:rsidR="00BF4A0F" w:rsidRPr="00BF4A0F">
        <w:rPr>
          <w:rFonts w:ascii="Calibri Light" w:hAnsi="Calibri Light" w:cs="Calibri Light"/>
          <w:sz w:val="18"/>
          <w:szCs w:val="18"/>
          <w:vertAlign w:val="subscript"/>
        </w:rPr>
        <w:t>2</w:t>
      </w:r>
      <w:r w:rsidR="00BF4A0F">
        <w:rPr>
          <w:rFonts w:ascii="Calibri Light" w:hAnsi="Calibri Light" w:cs="Calibri Light"/>
          <w:sz w:val="18"/>
          <w:szCs w:val="18"/>
        </w:rPr>
        <w:t xml:space="preserve"> and SO</w:t>
      </w:r>
      <w:r w:rsidR="00BF4A0F" w:rsidRPr="00BF4A0F">
        <w:rPr>
          <w:rFonts w:ascii="Calibri Light" w:hAnsi="Calibri Light" w:cs="Calibri Light"/>
          <w:sz w:val="18"/>
          <w:szCs w:val="18"/>
          <w:vertAlign w:val="subscript"/>
        </w:rPr>
        <w:t>2</w:t>
      </w:r>
      <w:r w:rsidRPr="00287268">
        <w:rPr>
          <w:rFonts w:ascii="Calibri Light" w:hAnsi="Calibri Light" w:cs="Calibri Light"/>
          <w:sz w:val="18"/>
          <w:szCs w:val="18"/>
        </w:rPr>
        <w:t xml:space="preserve">. </w:t>
      </w:r>
      <w:r w:rsidR="00204A89">
        <w:rPr>
          <w:rFonts w:ascii="Calibri Light" w:hAnsi="Calibri Light" w:cs="Calibri Light"/>
          <w:sz w:val="18"/>
          <w:szCs w:val="18"/>
        </w:rPr>
        <w:t xml:space="preserve"> </w:t>
      </w:r>
      <w:r w:rsidRPr="00287268">
        <w:rPr>
          <w:rFonts w:ascii="Calibri Light" w:hAnsi="Calibri Light" w:cs="Calibri Light"/>
          <w:sz w:val="18"/>
          <w:szCs w:val="18"/>
        </w:rPr>
        <w:t xml:space="preserve">A meta-analysis is a survey in which the results of the studies included in the review are statistically similar and are combined and analysed as if they were one study. </w:t>
      </w:r>
      <w:r w:rsidR="00204A89">
        <w:rPr>
          <w:rFonts w:ascii="Calibri Light" w:hAnsi="Calibri Light" w:cs="Calibri Light"/>
          <w:sz w:val="18"/>
          <w:szCs w:val="18"/>
        </w:rPr>
        <w:t xml:space="preserve"> </w:t>
      </w:r>
      <w:r w:rsidRPr="00287268">
        <w:rPr>
          <w:rFonts w:ascii="Calibri Light" w:hAnsi="Calibri Light" w:cs="Calibri Light"/>
          <w:sz w:val="18"/>
          <w:szCs w:val="18"/>
        </w:rPr>
        <w:t xml:space="preserve">The meta-analysis thus pools together risk ratios from many, similar studies, to establish a new </w:t>
      </w:r>
      <w:r w:rsidRPr="00287268">
        <w:rPr>
          <w:rFonts w:ascii="Calibri Light" w:hAnsi="Calibri Light" w:cs="Calibri Light"/>
          <w:i/>
          <w:iCs/>
          <w:sz w:val="18"/>
          <w:szCs w:val="18"/>
        </w:rPr>
        <w:t>risk ratio</w:t>
      </w:r>
      <w:r w:rsidRPr="00287268">
        <w:rPr>
          <w:rFonts w:ascii="Calibri Light" w:hAnsi="Calibri Light" w:cs="Calibri Light"/>
          <w:sz w:val="18"/>
          <w:szCs w:val="18"/>
        </w:rPr>
        <w:t>.</w:t>
      </w:r>
    </w:p>
    <w:p w14:paraId="267BC765" w14:textId="3C0112A7" w:rsidR="00446A42" w:rsidRPr="00446A42" w:rsidRDefault="00446A42" w:rsidP="00446A42">
      <w:pPr>
        <w:spacing w:before="120" w:after="120"/>
        <w:rPr>
          <w:rFonts w:ascii="Calibri Light" w:hAnsi="Calibri Light" w:cs="Calibri Light"/>
          <w:b/>
          <w:bCs/>
          <w:color w:val="ED7D31" w:themeColor="accent2"/>
          <w:sz w:val="24"/>
          <w:szCs w:val="24"/>
        </w:rPr>
      </w:pPr>
      <w:r w:rsidRPr="00446A42">
        <w:rPr>
          <w:rFonts w:ascii="Calibri Light" w:hAnsi="Calibri Light" w:cs="Calibri Light"/>
          <w:b/>
          <w:bCs/>
          <w:color w:val="ED7D31" w:themeColor="accent2"/>
          <w:sz w:val="24"/>
          <w:szCs w:val="24"/>
        </w:rPr>
        <w:t>Risk Ratios</w:t>
      </w:r>
    </w:p>
    <w:p w14:paraId="31DAD132" w14:textId="3389991A" w:rsidR="00B43DD8" w:rsidRDefault="00B43DD8" w:rsidP="00B95D58">
      <w:pPr>
        <w:rPr>
          <w:rFonts w:ascii="Calibri Light" w:hAnsi="Calibri Light" w:cs="Calibri Light"/>
          <w:sz w:val="18"/>
          <w:szCs w:val="18"/>
        </w:rPr>
      </w:pPr>
      <w:r w:rsidRPr="00287268">
        <w:rPr>
          <w:rFonts w:ascii="Calibri Light" w:hAnsi="Calibri Light" w:cs="Calibri Light"/>
          <w:sz w:val="18"/>
          <w:szCs w:val="18"/>
        </w:rPr>
        <w:t>A risk ratio</w:t>
      </w:r>
      <w:r w:rsidRPr="005858E8">
        <w:rPr>
          <w:rFonts w:ascii="Calibri Light" w:hAnsi="Calibri Light" w:cs="Calibri Light"/>
          <w:i/>
          <w:iCs/>
          <w:sz w:val="18"/>
          <w:szCs w:val="18"/>
        </w:rPr>
        <w:t xml:space="preserve"> (RR) </w:t>
      </w:r>
      <w:r w:rsidRPr="00287268">
        <w:rPr>
          <w:rFonts w:ascii="Calibri Light" w:hAnsi="Calibri Light" w:cs="Calibri Light"/>
          <w:sz w:val="18"/>
          <w:szCs w:val="18"/>
        </w:rPr>
        <w:t xml:space="preserve">is the ratio of the probability of an outcome in an exposed group to the probability of an outcome in an unexposed group. </w:t>
      </w:r>
      <w:r w:rsidR="00204A89">
        <w:rPr>
          <w:rFonts w:ascii="Calibri Light" w:hAnsi="Calibri Light" w:cs="Calibri Light"/>
          <w:sz w:val="18"/>
          <w:szCs w:val="18"/>
        </w:rPr>
        <w:t xml:space="preserve"> </w:t>
      </w:r>
      <w:r w:rsidRPr="00287268">
        <w:rPr>
          <w:rFonts w:ascii="Calibri Light" w:hAnsi="Calibri Light" w:cs="Calibri Light"/>
          <w:sz w:val="18"/>
          <w:szCs w:val="18"/>
        </w:rPr>
        <w:t xml:space="preserve">For relationships that are known to be causal (such as air pollution and adverse health effects), values of RR can be interpreted as follows: </w:t>
      </w:r>
    </w:p>
    <w:p w14:paraId="40C3423A" w14:textId="77777777" w:rsidR="00B95D58" w:rsidRDefault="00B95D58" w:rsidP="00B95D58">
      <w:pPr>
        <w:rPr>
          <w:rFonts w:ascii="Calibri Light" w:hAnsi="Calibri Light" w:cs="Calibri Light"/>
          <w:sz w:val="18"/>
          <w:szCs w:val="18"/>
        </w:rPr>
      </w:pPr>
    </w:p>
    <w:p w14:paraId="16348DB2" w14:textId="77777777" w:rsidR="00B43DD8" w:rsidRPr="00287268" w:rsidRDefault="00B43DD8" w:rsidP="00B95D58">
      <w:pPr>
        <w:pStyle w:val="ListParagraph"/>
        <w:numPr>
          <w:ilvl w:val="0"/>
          <w:numId w:val="1"/>
        </w:numPr>
        <w:spacing w:after="0" w:line="240" w:lineRule="auto"/>
        <w:ind w:left="714" w:hanging="357"/>
        <w:contextualSpacing w:val="0"/>
        <w:rPr>
          <w:rFonts w:ascii="Calibri Light" w:hAnsi="Calibri Light" w:cs="Calibri Light"/>
          <w:sz w:val="18"/>
          <w:szCs w:val="18"/>
        </w:rPr>
      </w:pPr>
      <w:r w:rsidRPr="00287268">
        <w:rPr>
          <w:rFonts w:ascii="Calibri Light" w:hAnsi="Calibri Light" w:cs="Calibri Light"/>
          <w:sz w:val="18"/>
          <w:szCs w:val="18"/>
        </w:rPr>
        <w:t>RR = 1 means that exposure does not affect the outcome</w:t>
      </w:r>
    </w:p>
    <w:p w14:paraId="792C9398" w14:textId="77777777" w:rsidR="00B43DD8" w:rsidRPr="00287268" w:rsidRDefault="00B43DD8" w:rsidP="00B95D58">
      <w:pPr>
        <w:pStyle w:val="ListParagraph"/>
        <w:numPr>
          <w:ilvl w:val="0"/>
          <w:numId w:val="1"/>
        </w:numPr>
        <w:spacing w:after="0" w:line="240" w:lineRule="auto"/>
        <w:ind w:left="714" w:hanging="357"/>
        <w:contextualSpacing w:val="0"/>
        <w:rPr>
          <w:rFonts w:ascii="Calibri Light" w:hAnsi="Calibri Light" w:cs="Calibri Light"/>
          <w:sz w:val="18"/>
          <w:szCs w:val="18"/>
        </w:rPr>
      </w:pPr>
      <w:r w:rsidRPr="00287268">
        <w:rPr>
          <w:rFonts w:ascii="Calibri Light" w:hAnsi="Calibri Light" w:cs="Calibri Light"/>
          <w:sz w:val="18"/>
          <w:szCs w:val="18"/>
        </w:rPr>
        <w:t>RR &lt; 1 means that the risk of the outcome is decreased by the exposure</w:t>
      </w:r>
    </w:p>
    <w:p w14:paraId="7F45BDBD" w14:textId="77777777" w:rsidR="00CF11EA" w:rsidRDefault="00B43DD8" w:rsidP="00B95D58">
      <w:pPr>
        <w:pStyle w:val="ListParagraph"/>
        <w:numPr>
          <w:ilvl w:val="0"/>
          <w:numId w:val="1"/>
        </w:numPr>
        <w:spacing w:after="0" w:line="240" w:lineRule="auto"/>
        <w:ind w:left="714" w:hanging="357"/>
        <w:contextualSpacing w:val="0"/>
        <w:rPr>
          <w:rFonts w:ascii="Calibri Light" w:hAnsi="Calibri Light" w:cs="Calibri Light"/>
          <w:sz w:val="18"/>
          <w:szCs w:val="18"/>
        </w:rPr>
      </w:pPr>
      <w:r w:rsidRPr="00CF11EA">
        <w:rPr>
          <w:rFonts w:ascii="Calibri Light" w:hAnsi="Calibri Light" w:cs="Calibri Light"/>
          <w:sz w:val="18"/>
          <w:szCs w:val="18"/>
        </w:rPr>
        <w:t>RR &gt; 1 means that the risk of the outcome is increased by the exposure</w:t>
      </w:r>
    </w:p>
    <w:p w14:paraId="004D2A4E" w14:textId="563D0DC2" w:rsidR="00B43DD8" w:rsidRPr="00CF11EA" w:rsidRDefault="00B43DD8" w:rsidP="00B95D58">
      <w:pPr>
        <w:rPr>
          <w:rFonts w:ascii="Calibri Light" w:hAnsi="Calibri Light" w:cs="Calibri Light"/>
          <w:sz w:val="18"/>
          <w:szCs w:val="18"/>
        </w:rPr>
      </w:pPr>
      <w:r w:rsidRPr="00CF11EA">
        <w:rPr>
          <w:rFonts w:ascii="Calibri Light" w:hAnsi="Calibri Light" w:cs="Calibri Light"/>
          <w:sz w:val="18"/>
          <w:szCs w:val="18"/>
        </w:rPr>
        <w:t xml:space="preserve">It is important to note that RR are relative (to non-exposure). </w:t>
      </w:r>
      <w:r w:rsidR="00204A89" w:rsidRPr="00CF11EA">
        <w:rPr>
          <w:rFonts w:ascii="Calibri Light" w:hAnsi="Calibri Light" w:cs="Calibri Light"/>
          <w:sz w:val="18"/>
          <w:szCs w:val="18"/>
        </w:rPr>
        <w:t xml:space="preserve"> </w:t>
      </w:r>
      <w:r w:rsidRPr="00CF11EA">
        <w:rPr>
          <w:rFonts w:ascii="Calibri Light" w:hAnsi="Calibri Light" w:cs="Calibri Light"/>
          <w:sz w:val="18"/>
          <w:szCs w:val="18"/>
        </w:rPr>
        <w:t xml:space="preserve">This means that to understand a RR, the range of exposure needs to be clearly stated. </w:t>
      </w:r>
      <w:r w:rsidR="00204A89" w:rsidRPr="00CF11EA">
        <w:rPr>
          <w:rFonts w:ascii="Calibri Light" w:hAnsi="Calibri Light" w:cs="Calibri Light"/>
          <w:sz w:val="18"/>
          <w:szCs w:val="18"/>
        </w:rPr>
        <w:t xml:space="preserve"> </w:t>
      </w:r>
      <w:r w:rsidR="00BF4A0F" w:rsidRPr="00CF11EA">
        <w:rPr>
          <w:rFonts w:ascii="Calibri Light" w:hAnsi="Calibri Light" w:cs="Calibri Light"/>
          <w:sz w:val="18"/>
          <w:szCs w:val="18"/>
        </w:rPr>
        <w:t xml:space="preserve">The standard </w:t>
      </w:r>
      <w:bookmarkStart w:id="0" w:name="_Hlk85472300"/>
      <w:r w:rsidRPr="00CF11EA">
        <w:rPr>
          <w:rFonts w:ascii="Calibri Light" w:hAnsi="Calibri Light" w:cs="Calibri Light"/>
          <w:sz w:val="18"/>
          <w:szCs w:val="18"/>
        </w:rPr>
        <w:t xml:space="preserve">increment </w:t>
      </w:r>
      <w:r w:rsidR="00BF4A0F" w:rsidRPr="00CF11EA">
        <w:rPr>
          <w:rFonts w:ascii="Calibri Light" w:hAnsi="Calibri Light" w:cs="Calibri Light"/>
          <w:sz w:val="18"/>
          <w:szCs w:val="18"/>
        </w:rPr>
        <w:t xml:space="preserve">in air quality epidemiology (including Zheng </w:t>
      </w:r>
      <w:r w:rsidR="00BF4A0F" w:rsidRPr="00CF11EA">
        <w:rPr>
          <w:rFonts w:ascii="Calibri Light" w:hAnsi="Calibri Light" w:cs="Calibri Light"/>
          <w:i/>
          <w:iCs/>
          <w:sz w:val="18"/>
          <w:szCs w:val="18"/>
        </w:rPr>
        <w:t>et al</w:t>
      </w:r>
      <w:r w:rsidR="00BF4A0F" w:rsidRPr="00CF11EA">
        <w:rPr>
          <w:rFonts w:ascii="Calibri Light" w:hAnsi="Calibri Light" w:cs="Calibri Light"/>
          <w:sz w:val="18"/>
          <w:szCs w:val="18"/>
        </w:rPr>
        <w:t>. 2021) is</w:t>
      </w:r>
      <w:r w:rsidRPr="00CF11EA">
        <w:rPr>
          <w:rFonts w:ascii="Calibri Light" w:hAnsi="Calibri Light" w:cs="Calibri Light"/>
          <w:sz w:val="18"/>
          <w:szCs w:val="18"/>
        </w:rPr>
        <w:t xml:space="preserve"> 10 </w:t>
      </w:r>
      <w:r w:rsidR="00204A89" w:rsidRPr="00CF11EA">
        <w:rPr>
          <w:rFonts w:ascii="Calibri Light" w:hAnsi="Calibri Light" w:cs="Calibri Light"/>
          <w:sz w:val="18"/>
          <w:szCs w:val="18"/>
        </w:rPr>
        <w:t>micrograms per cubic metre (</w:t>
      </w:r>
      <w:r w:rsidRPr="00CF11EA">
        <w:rPr>
          <w:rFonts w:ascii="Calibri Light" w:hAnsi="Calibri Light" w:cs="Calibri Light"/>
          <w:sz w:val="18"/>
          <w:szCs w:val="18"/>
        </w:rPr>
        <w:t>µg/m</w:t>
      </w:r>
      <w:r w:rsidRPr="00CF11EA">
        <w:rPr>
          <w:rFonts w:ascii="Calibri Light" w:hAnsi="Calibri Light" w:cs="Calibri Light"/>
          <w:sz w:val="18"/>
          <w:szCs w:val="18"/>
          <w:vertAlign w:val="superscript"/>
        </w:rPr>
        <w:t>3</w:t>
      </w:r>
      <w:bookmarkEnd w:id="0"/>
      <w:r w:rsidR="00204A89" w:rsidRPr="00CF11EA">
        <w:rPr>
          <w:rFonts w:ascii="Calibri Light" w:hAnsi="Calibri Light" w:cs="Calibri Light"/>
          <w:sz w:val="18"/>
          <w:szCs w:val="18"/>
        </w:rPr>
        <w:t>).</w:t>
      </w:r>
    </w:p>
    <w:p w14:paraId="190A9400" w14:textId="77777777" w:rsidR="00B43DD8" w:rsidRPr="00B43DD8" w:rsidRDefault="00B43DD8" w:rsidP="00B43DD8">
      <w:pPr>
        <w:pStyle w:val="Heading1"/>
        <w:rPr>
          <w:color w:val="ED7D31" w:themeColor="accent2"/>
        </w:rPr>
      </w:pPr>
      <w:r w:rsidRPr="00B43DD8">
        <w:rPr>
          <w:color w:val="ED7D31" w:themeColor="accent2"/>
        </w:rPr>
        <w:t>Long-term vs short-term effects</w:t>
      </w:r>
    </w:p>
    <w:p w14:paraId="45DC9380" w14:textId="27FA3C60" w:rsidR="00B43DD8" w:rsidRDefault="00B43DD8" w:rsidP="00B95D58">
      <w:pPr>
        <w:rPr>
          <w:rFonts w:ascii="Calibri Light" w:hAnsi="Calibri Light" w:cs="Calibri Light"/>
          <w:sz w:val="18"/>
          <w:szCs w:val="18"/>
        </w:rPr>
      </w:pPr>
      <w:r w:rsidRPr="00A706C8">
        <w:rPr>
          <w:rFonts w:ascii="Calibri Light" w:hAnsi="Calibri Light" w:cs="Calibri Light"/>
          <w:sz w:val="18"/>
          <w:szCs w:val="18"/>
        </w:rPr>
        <w:t>The health effects of exposure to air pollution depend on the duration of exposure as well as the concentration</w:t>
      </w:r>
      <w:r w:rsidR="005554F1">
        <w:rPr>
          <w:rFonts w:ascii="Calibri Light" w:hAnsi="Calibri Light" w:cs="Calibri Light"/>
          <w:sz w:val="18"/>
          <w:szCs w:val="18"/>
        </w:rPr>
        <w:t xml:space="preserve"> of the pollutant</w:t>
      </w:r>
      <w:r w:rsidRPr="00A706C8">
        <w:rPr>
          <w:rFonts w:ascii="Calibri Light" w:hAnsi="Calibri Light" w:cs="Calibri Light"/>
          <w:sz w:val="18"/>
          <w:szCs w:val="18"/>
        </w:rPr>
        <w:t xml:space="preserve">. </w:t>
      </w:r>
      <w:r w:rsidR="00204A89">
        <w:rPr>
          <w:rFonts w:ascii="Calibri Light" w:hAnsi="Calibri Light" w:cs="Calibri Light"/>
          <w:sz w:val="18"/>
          <w:szCs w:val="18"/>
        </w:rPr>
        <w:t xml:space="preserve"> </w:t>
      </w:r>
      <w:r w:rsidRPr="00A706C8">
        <w:rPr>
          <w:rFonts w:ascii="Calibri Light" w:hAnsi="Calibri Light" w:cs="Calibri Light"/>
          <w:sz w:val="18"/>
          <w:szCs w:val="18"/>
        </w:rPr>
        <w:t xml:space="preserve">For example, exposure may trigger the occurrence of </w:t>
      </w:r>
      <w:r w:rsidR="00FF58E8">
        <w:rPr>
          <w:rFonts w:ascii="Calibri Light" w:hAnsi="Calibri Light" w:cs="Calibri Light"/>
          <w:sz w:val="18"/>
          <w:szCs w:val="18"/>
        </w:rPr>
        <w:t>an acute event (e.g.</w:t>
      </w:r>
      <w:r w:rsidR="00204A89">
        <w:rPr>
          <w:rFonts w:ascii="Calibri Light" w:hAnsi="Calibri Light" w:cs="Calibri Light"/>
          <w:sz w:val="18"/>
          <w:szCs w:val="18"/>
        </w:rPr>
        <w:t>,</w:t>
      </w:r>
      <w:r w:rsidR="00FF58E8">
        <w:rPr>
          <w:rFonts w:ascii="Calibri Light" w:hAnsi="Calibri Light" w:cs="Calibri Light"/>
          <w:sz w:val="18"/>
          <w:szCs w:val="18"/>
        </w:rPr>
        <w:t xml:space="preserve"> asthma attack or myocardial infarction) leading to</w:t>
      </w:r>
      <w:r w:rsidR="00CA5B59">
        <w:rPr>
          <w:rFonts w:ascii="Calibri Light" w:hAnsi="Calibri Light" w:cs="Calibri Light"/>
          <w:sz w:val="18"/>
          <w:szCs w:val="18"/>
        </w:rPr>
        <w:t xml:space="preserve"> </w:t>
      </w:r>
      <w:r w:rsidR="00DC389D">
        <w:rPr>
          <w:rFonts w:ascii="Calibri Light" w:hAnsi="Calibri Light" w:cs="Calibri Light"/>
          <w:sz w:val="18"/>
          <w:szCs w:val="18"/>
        </w:rPr>
        <w:t xml:space="preserve">death </w:t>
      </w:r>
      <w:r w:rsidRPr="00A706C8">
        <w:rPr>
          <w:rFonts w:ascii="Calibri Light" w:hAnsi="Calibri Light" w:cs="Calibri Light"/>
          <w:sz w:val="18"/>
          <w:szCs w:val="18"/>
        </w:rPr>
        <w:t>(short-term effects) and/or increase the underlying frailty of the population</w:t>
      </w:r>
      <w:r w:rsidR="00CA5B59">
        <w:rPr>
          <w:rFonts w:ascii="Calibri Light" w:hAnsi="Calibri Light" w:cs="Calibri Light"/>
          <w:sz w:val="18"/>
          <w:szCs w:val="18"/>
        </w:rPr>
        <w:t xml:space="preserve"> due to chronic exposure</w:t>
      </w:r>
      <w:r w:rsidRPr="00A706C8">
        <w:rPr>
          <w:rFonts w:ascii="Calibri Light" w:hAnsi="Calibri Light" w:cs="Calibri Light"/>
          <w:sz w:val="18"/>
          <w:szCs w:val="18"/>
        </w:rPr>
        <w:t xml:space="preserve"> (long-term effects).</w:t>
      </w:r>
    </w:p>
    <w:p w14:paraId="45EB05B8" w14:textId="77777777" w:rsidR="00B95D58" w:rsidRDefault="00B95D58" w:rsidP="00B95D58">
      <w:pPr>
        <w:rPr>
          <w:rFonts w:ascii="Calibri Light" w:hAnsi="Calibri Light" w:cs="Calibri Light"/>
          <w:sz w:val="18"/>
          <w:szCs w:val="18"/>
        </w:rPr>
      </w:pPr>
    </w:p>
    <w:p w14:paraId="3A1364A0" w14:textId="3D5D9A90" w:rsidR="00B43DD8" w:rsidRDefault="0043214C" w:rsidP="00B95D58">
      <w:pPr>
        <w:jc w:val="center"/>
        <w:rPr>
          <w:rFonts w:ascii="Calibri Light" w:hAnsi="Calibri Light" w:cs="Calibri Light"/>
          <w:sz w:val="18"/>
          <w:szCs w:val="18"/>
        </w:rPr>
      </w:pPr>
      <w:r w:rsidRPr="00287268">
        <w:rPr>
          <w:rFonts w:ascii="Calibri Light" w:hAnsi="Calibri Light" w:cs="Calibri Light"/>
          <w:noProof/>
          <w:sz w:val="18"/>
          <w:szCs w:val="18"/>
        </w:rPr>
        <w:drawing>
          <wp:inline distT="0" distB="0" distL="0" distR="0" wp14:anchorId="4AFF4ED8" wp14:editId="325AF22F">
            <wp:extent cx="3634829" cy="2362200"/>
            <wp:effectExtent l="0" t="0" r="3175" b="8255"/>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4829" cy="2362200"/>
                    </a:xfrm>
                    <a:prstGeom prst="rect">
                      <a:avLst/>
                    </a:prstGeom>
                    <a:noFill/>
                    <a:ln>
                      <a:noFill/>
                    </a:ln>
                  </pic:spPr>
                </pic:pic>
              </a:graphicData>
            </a:graphic>
          </wp:inline>
        </w:drawing>
      </w:r>
    </w:p>
    <w:p w14:paraId="361F40B8" w14:textId="787D6BE9" w:rsidR="0043214C" w:rsidRPr="0000440C" w:rsidRDefault="0043214C" w:rsidP="00B95D58">
      <w:pPr>
        <w:pStyle w:val="Caption"/>
        <w:spacing w:before="0" w:after="0"/>
        <w:jc w:val="both"/>
        <w:rPr>
          <w:rFonts w:ascii="Calibri Light" w:hAnsi="Calibri Light" w:cs="Calibri Light"/>
          <w:b w:val="0"/>
          <w:bCs/>
          <w:i/>
          <w:iCs w:val="0"/>
        </w:rPr>
      </w:pPr>
      <w:r w:rsidRPr="00416ECB">
        <w:rPr>
          <w:rFonts w:ascii="Calibri Light" w:hAnsi="Calibri Light" w:cs="Calibri Light"/>
          <w:b w:val="0"/>
          <w:bCs/>
          <w:i/>
          <w:iCs w:val="0"/>
          <w:sz w:val="16"/>
          <w:szCs w:val="16"/>
        </w:rPr>
        <w:t xml:space="preserve">Figure </w:t>
      </w:r>
      <w:r w:rsidRPr="00416ECB">
        <w:rPr>
          <w:rFonts w:ascii="Calibri Light" w:hAnsi="Calibri Light" w:cs="Calibri Light"/>
          <w:b w:val="0"/>
          <w:bCs/>
          <w:i/>
          <w:iCs w:val="0"/>
          <w:sz w:val="16"/>
          <w:szCs w:val="16"/>
        </w:rPr>
        <w:fldChar w:fldCharType="begin"/>
      </w:r>
      <w:r w:rsidRPr="00416ECB">
        <w:rPr>
          <w:rFonts w:ascii="Calibri Light" w:hAnsi="Calibri Light" w:cs="Calibri Light"/>
          <w:b w:val="0"/>
          <w:bCs/>
          <w:i/>
          <w:iCs w:val="0"/>
          <w:sz w:val="16"/>
          <w:szCs w:val="16"/>
        </w:rPr>
        <w:instrText xml:space="preserve"> SEQ Figure \* ARABIC </w:instrText>
      </w:r>
      <w:r w:rsidRPr="00416ECB">
        <w:rPr>
          <w:rFonts w:ascii="Calibri Light" w:hAnsi="Calibri Light" w:cs="Calibri Light"/>
          <w:b w:val="0"/>
          <w:bCs/>
          <w:i/>
          <w:iCs w:val="0"/>
          <w:sz w:val="16"/>
          <w:szCs w:val="16"/>
        </w:rPr>
        <w:fldChar w:fldCharType="separate"/>
      </w:r>
      <w:r w:rsidR="00CF11EA">
        <w:rPr>
          <w:rFonts w:ascii="Calibri Light" w:hAnsi="Calibri Light" w:cs="Calibri Light"/>
          <w:b w:val="0"/>
          <w:bCs/>
          <w:i/>
          <w:iCs w:val="0"/>
          <w:noProof/>
          <w:sz w:val="16"/>
          <w:szCs w:val="16"/>
        </w:rPr>
        <w:t>1</w:t>
      </w:r>
      <w:r w:rsidRPr="00416ECB">
        <w:rPr>
          <w:rFonts w:ascii="Calibri Light" w:hAnsi="Calibri Light" w:cs="Calibri Light"/>
          <w:b w:val="0"/>
          <w:bCs/>
          <w:i/>
          <w:iCs w:val="0"/>
          <w:sz w:val="16"/>
          <w:szCs w:val="16"/>
        </w:rPr>
        <w:fldChar w:fldCharType="end"/>
      </w:r>
      <w:r w:rsidRPr="00416ECB">
        <w:rPr>
          <w:rFonts w:ascii="Calibri Light" w:hAnsi="Calibri Light" w:cs="Calibri Light"/>
          <w:b w:val="0"/>
          <w:bCs/>
          <w:i/>
          <w:iCs w:val="0"/>
          <w:sz w:val="16"/>
          <w:szCs w:val="16"/>
        </w:rPr>
        <w:t>: Illustration of deaths due to ambient air pollution in a population, including cases related to both long term and short-term air pollution (</w:t>
      </w:r>
      <w:proofErr w:type="spellStart"/>
      <w:r w:rsidRPr="00416ECB">
        <w:rPr>
          <w:rFonts w:ascii="Calibri Light" w:hAnsi="Calibri Light" w:cs="Calibri Light"/>
          <w:b w:val="0"/>
          <w:bCs/>
          <w:i/>
          <w:iCs w:val="0"/>
          <w:sz w:val="16"/>
          <w:szCs w:val="16"/>
        </w:rPr>
        <w:t>K</w:t>
      </w:r>
      <w:r w:rsidR="00204A89">
        <w:rPr>
          <w:rFonts w:ascii="Calibri Light" w:hAnsi="Calibri Light" w:cs="Calibri Light"/>
          <w:b w:val="0"/>
          <w:bCs/>
          <w:i/>
          <w:iCs w:val="0"/>
          <w:sz w:val="16"/>
          <w:szCs w:val="16"/>
        </w:rPr>
        <w:t>ü</w:t>
      </w:r>
      <w:r w:rsidRPr="00416ECB">
        <w:rPr>
          <w:rFonts w:ascii="Calibri Light" w:hAnsi="Calibri Light" w:cs="Calibri Light"/>
          <w:b w:val="0"/>
          <w:bCs/>
          <w:i/>
          <w:iCs w:val="0"/>
          <w:sz w:val="16"/>
          <w:szCs w:val="16"/>
        </w:rPr>
        <w:t>nzli</w:t>
      </w:r>
      <w:proofErr w:type="spellEnd"/>
      <w:r w:rsidRPr="00416ECB">
        <w:rPr>
          <w:rFonts w:ascii="Calibri Light" w:hAnsi="Calibri Light" w:cs="Calibri Light"/>
          <w:b w:val="0"/>
          <w:bCs/>
          <w:i/>
          <w:iCs w:val="0"/>
          <w:sz w:val="16"/>
          <w:szCs w:val="16"/>
        </w:rPr>
        <w:t xml:space="preserve"> et al</w:t>
      </w:r>
      <w:r>
        <w:rPr>
          <w:rFonts w:ascii="Calibri Light" w:hAnsi="Calibri Light" w:cs="Calibri Light"/>
          <w:b w:val="0"/>
          <w:bCs/>
          <w:i/>
          <w:iCs w:val="0"/>
          <w:sz w:val="16"/>
          <w:szCs w:val="16"/>
        </w:rPr>
        <w:t>.</w:t>
      </w:r>
      <w:r w:rsidRPr="00416ECB">
        <w:rPr>
          <w:rFonts w:ascii="Calibri Light" w:hAnsi="Calibri Light" w:cs="Calibri Light"/>
          <w:b w:val="0"/>
          <w:bCs/>
          <w:i/>
          <w:iCs w:val="0"/>
          <w:sz w:val="16"/>
          <w:szCs w:val="16"/>
        </w:rPr>
        <w:t xml:space="preserve"> 2001)</w:t>
      </w:r>
    </w:p>
    <w:p w14:paraId="66EA105E" w14:textId="77777777" w:rsidR="0043214C" w:rsidRDefault="0043214C" w:rsidP="00B43DD8">
      <w:pPr>
        <w:rPr>
          <w:rFonts w:ascii="Calibri Light" w:hAnsi="Calibri Light" w:cs="Calibri Light"/>
          <w:sz w:val="18"/>
          <w:szCs w:val="18"/>
        </w:rPr>
      </w:pPr>
    </w:p>
    <w:p w14:paraId="150820C6" w14:textId="531FF670" w:rsidR="00B43DD8" w:rsidRDefault="00B43DD8" w:rsidP="00B95D58">
      <w:pPr>
        <w:rPr>
          <w:rFonts w:ascii="Calibri Light" w:hAnsi="Calibri Light" w:cs="Calibri Light"/>
          <w:sz w:val="18"/>
          <w:szCs w:val="18"/>
        </w:rPr>
      </w:pPr>
      <w:r w:rsidRPr="00287268">
        <w:rPr>
          <w:rFonts w:ascii="Calibri Light" w:hAnsi="Calibri Light" w:cs="Calibri Light"/>
          <w:sz w:val="18"/>
          <w:szCs w:val="18"/>
        </w:rPr>
        <w:t xml:space="preserve">To explain the difference between short-term effects and long-term effects, </w:t>
      </w:r>
      <w:proofErr w:type="spellStart"/>
      <w:r w:rsidRPr="00287268">
        <w:rPr>
          <w:rFonts w:ascii="Calibri Light" w:hAnsi="Calibri Light" w:cs="Calibri Light"/>
          <w:sz w:val="18"/>
          <w:szCs w:val="18"/>
        </w:rPr>
        <w:t>K</w:t>
      </w:r>
      <w:r w:rsidR="00204A89">
        <w:rPr>
          <w:rFonts w:ascii="Calibri Light" w:hAnsi="Calibri Light" w:cs="Calibri Light"/>
          <w:sz w:val="18"/>
          <w:szCs w:val="18"/>
        </w:rPr>
        <w:t>ü</w:t>
      </w:r>
      <w:r w:rsidRPr="00287268">
        <w:rPr>
          <w:rFonts w:ascii="Calibri Light" w:hAnsi="Calibri Light" w:cs="Calibri Light"/>
          <w:sz w:val="18"/>
          <w:szCs w:val="18"/>
        </w:rPr>
        <w:t>nzli</w:t>
      </w:r>
      <w:proofErr w:type="spellEnd"/>
      <w:r w:rsidRPr="00287268">
        <w:rPr>
          <w:rFonts w:ascii="Calibri Light" w:hAnsi="Calibri Light" w:cs="Calibri Light"/>
          <w:sz w:val="18"/>
          <w:szCs w:val="18"/>
        </w:rPr>
        <w:t xml:space="preserve"> </w:t>
      </w:r>
      <w:r w:rsidRPr="00204A89">
        <w:rPr>
          <w:rFonts w:ascii="Calibri Light" w:hAnsi="Calibri Light" w:cs="Calibri Light"/>
          <w:i/>
          <w:iCs/>
          <w:sz w:val="18"/>
          <w:szCs w:val="18"/>
        </w:rPr>
        <w:t>et al</w:t>
      </w:r>
      <w:r w:rsidR="00204A89">
        <w:rPr>
          <w:rFonts w:ascii="Calibri Light" w:hAnsi="Calibri Light" w:cs="Calibri Light"/>
          <w:sz w:val="18"/>
          <w:szCs w:val="18"/>
        </w:rPr>
        <w:t>.</w:t>
      </w:r>
      <w:r w:rsidRPr="00287268">
        <w:rPr>
          <w:rFonts w:ascii="Calibri Light" w:hAnsi="Calibri Light" w:cs="Calibri Light"/>
          <w:sz w:val="18"/>
          <w:szCs w:val="18"/>
        </w:rPr>
        <w:t xml:space="preserve"> </w:t>
      </w:r>
      <w:r w:rsidR="00204A89">
        <w:rPr>
          <w:rFonts w:ascii="Calibri Light" w:hAnsi="Calibri Light" w:cs="Calibri Light"/>
          <w:sz w:val="18"/>
          <w:szCs w:val="18"/>
        </w:rPr>
        <w:t>(</w:t>
      </w:r>
      <w:r w:rsidRPr="00287268">
        <w:rPr>
          <w:rFonts w:ascii="Calibri Light" w:hAnsi="Calibri Light" w:cs="Calibri Light"/>
          <w:sz w:val="18"/>
          <w:szCs w:val="18"/>
        </w:rPr>
        <w:t>2001</w:t>
      </w:r>
      <w:r w:rsidR="00204A89">
        <w:rPr>
          <w:rFonts w:ascii="Calibri Light" w:hAnsi="Calibri Light" w:cs="Calibri Light"/>
          <w:sz w:val="18"/>
          <w:szCs w:val="18"/>
        </w:rPr>
        <w:t>)</w:t>
      </w:r>
      <w:r w:rsidRPr="00287268">
        <w:rPr>
          <w:rFonts w:ascii="Calibri Light" w:hAnsi="Calibri Light" w:cs="Calibri Light"/>
          <w:sz w:val="18"/>
          <w:szCs w:val="18"/>
        </w:rPr>
        <w:t xml:space="preserve"> describes four different categories of mortality effects A, B and C and D. </w:t>
      </w:r>
      <w:r w:rsidR="00204A89">
        <w:rPr>
          <w:rFonts w:ascii="Calibri Light" w:hAnsi="Calibri Light" w:cs="Calibri Light"/>
          <w:sz w:val="18"/>
          <w:szCs w:val="18"/>
        </w:rPr>
        <w:t xml:space="preserve"> </w:t>
      </w:r>
      <w:r w:rsidRPr="00287268">
        <w:rPr>
          <w:rFonts w:ascii="Calibri Light" w:hAnsi="Calibri Light" w:cs="Calibri Light"/>
          <w:sz w:val="18"/>
          <w:szCs w:val="18"/>
        </w:rPr>
        <w:t xml:space="preserve">These are illustrated in </w:t>
      </w:r>
      <w:r w:rsidRPr="00287268">
        <w:rPr>
          <w:rFonts w:ascii="Calibri Light" w:hAnsi="Calibri Light" w:cs="Calibri Light"/>
          <w:b/>
          <w:bCs/>
          <w:sz w:val="18"/>
          <w:szCs w:val="18"/>
        </w:rPr>
        <w:t>Figure 1</w:t>
      </w:r>
      <w:r w:rsidRPr="00287268">
        <w:rPr>
          <w:rFonts w:ascii="Calibri Light" w:hAnsi="Calibri Light" w:cs="Calibri Light"/>
          <w:sz w:val="18"/>
          <w:szCs w:val="18"/>
        </w:rPr>
        <w:t xml:space="preserve"> and categorised as follows.</w:t>
      </w:r>
    </w:p>
    <w:p w14:paraId="0C3E19A2" w14:textId="77777777" w:rsidR="00B95D58" w:rsidRDefault="00B95D58" w:rsidP="00B95D58">
      <w:pPr>
        <w:rPr>
          <w:rFonts w:ascii="Calibri Light" w:hAnsi="Calibri Light" w:cs="Calibri Light"/>
          <w:sz w:val="18"/>
          <w:szCs w:val="18"/>
        </w:rPr>
      </w:pPr>
    </w:p>
    <w:p w14:paraId="289E934E" w14:textId="15BDEB86" w:rsidR="00B43DD8" w:rsidRPr="00051B33" w:rsidRDefault="00B43DD8" w:rsidP="00B95D58">
      <w:pPr>
        <w:pStyle w:val="ListParagraph"/>
        <w:numPr>
          <w:ilvl w:val="0"/>
          <w:numId w:val="2"/>
        </w:numPr>
        <w:spacing w:after="0" w:line="240" w:lineRule="auto"/>
        <w:jc w:val="both"/>
        <w:rPr>
          <w:rFonts w:ascii="Calibri Light" w:hAnsi="Calibri Light" w:cs="Calibri Light"/>
          <w:sz w:val="18"/>
          <w:szCs w:val="18"/>
        </w:rPr>
      </w:pPr>
      <w:r w:rsidRPr="00051B33">
        <w:rPr>
          <w:rFonts w:ascii="Calibri Light" w:hAnsi="Calibri Light" w:cs="Calibri Light"/>
          <w:sz w:val="18"/>
          <w:szCs w:val="18"/>
        </w:rPr>
        <w:t xml:space="preserve">For deaths in </w:t>
      </w:r>
      <w:r w:rsidRPr="00051B33">
        <w:rPr>
          <w:rFonts w:ascii="Calibri Light" w:hAnsi="Calibri Light" w:cs="Calibri Light"/>
          <w:b/>
          <w:bCs/>
          <w:sz w:val="18"/>
          <w:szCs w:val="18"/>
        </w:rPr>
        <w:t>category A</w:t>
      </w:r>
      <w:r w:rsidRPr="00051B33">
        <w:rPr>
          <w:rFonts w:ascii="Calibri Light" w:hAnsi="Calibri Light" w:cs="Calibri Light"/>
          <w:sz w:val="18"/>
          <w:szCs w:val="18"/>
        </w:rPr>
        <w:t xml:space="preserve">, air pollution may have played a role both in increasing the persons underlying susceptibility or frailty and in triggering the event. </w:t>
      </w:r>
      <w:r w:rsidR="00204A89">
        <w:rPr>
          <w:rFonts w:ascii="Calibri Light" w:hAnsi="Calibri Light" w:cs="Calibri Light"/>
          <w:sz w:val="18"/>
          <w:szCs w:val="18"/>
        </w:rPr>
        <w:t xml:space="preserve"> </w:t>
      </w:r>
      <w:r w:rsidRPr="00051B33">
        <w:rPr>
          <w:rFonts w:ascii="Calibri Light" w:hAnsi="Calibri Light" w:cs="Calibri Light"/>
          <w:sz w:val="18"/>
          <w:szCs w:val="18"/>
        </w:rPr>
        <w:t>For example, patients with chronic bronchitis that has been aggravated by long term air pollution exposure may be hospitalised with an acute, air pollution-related exacerbation of their illness, leading to death shortly afterward.</w:t>
      </w:r>
    </w:p>
    <w:p w14:paraId="3A236CCC" w14:textId="719B5773" w:rsidR="00B43DD8" w:rsidRDefault="00B43DD8" w:rsidP="00B95D58">
      <w:pPr>
        <w:pStyle w:val="ListParagraph"/>
        <w:numPr>
          <w:ilvl w:val="0"/>
          <w:numId w:val="1"/>
        </w:numPr>
        <w:spacing w:after="0" w:line="240" w:lineRule="auto"/>
        <w:ind w:left="714" w:hanging="357"/>
        <w:contextualSpacing w:val="0"/>
        <w:jc w:val="both"/>
        <w:rPr>
          <w:rFonts w:ascii="Calibri Light" w:hAnsi="Calibri Light" w:cs="Calibri Light"/>
          <w:sz w:val="18"/>
          <w:szCs w:val="18"/>
        </w:rPr>
      </w:pPr>
      <w:r w:rsidRPr="00287268">
        <w:rPr>
          <w:rFonts w:ascii="Calibri Light" w:hAnsi="Calibri Light" w:cs="Calibri Light"/>
          <w:sz w:val="18"/>
          <w:szCs w:val="18"/>
        </w:rPr>
        <w:lastRenderedPageBreak/>
        <w:t xml:space="preserve">For cases in </w:t>
      </w:r>
      <w:r w:rsidRPr="00287268">
        <w:rPr>
          <w:rFonts w:ascii="Calibri Light" w:hAnsi="Calibri Light" w:cs="Calibri Light"/>
          <w:b/>
          <w:bCs/>
          <w:sz w:val="18"/>
          <w:szCs w:val="18"/>
        </w:rPr>
        <w:t>category B</w:t>
      </w:r>
      <w:r w:rsidRPr="00287268">
        <w:rPr>
          <w:rFonts w:ascii="Calibri Light" w:hAnsi="Calibri Light" w:cs="Calibri Light"/>
          <w:sz w:val="18"/>
          <w:szCs w:val="18"/>
        </w:rPr>
        <w:t xml:space="preserve">, the underlying frailty is again related to (among other factors) long term air pollution, but the event or the occurrence of death itself is unrelated to the levels of air pollution shortly before death. </w:t>
      </w:r>
      <w:r w:rsidR="00204A89">
        <w:rPr>
          <w:rFonts w:ascii="Calibri Light" w:hAnsi="Calibri Light" w:cs="Calibri Light"/>
          <w:sz w:val="18"/>
          <w:szCs w:val="18"/>
        </w:rPr>
        <w:t xml:space="preserve"> </w:t>
      </w:r>
      <w:r w:rsidRPr="00287268">
        <w:rPr>
          <w:rFonts w:ascii="Calibri Light" w:hAnsi="Calibri Light" w:cs="Calibri Light"/>
          <w:sz w:val="18"/>
          <w:szCs w:val="18"/>
        </w:rPr>
        <w:t xml:space="preserve">For example, suffering from chronic bronchitis may be made worse by long term ambient air pollution exposure but the person may die of acute pneumonia acquired during a clean air period. </w:t>
      </w:r>
      <w:r w:rsidR="00204A89">
        <w:rPr>
          <w:rFonts w:ascii="Calibri Light" w:hAnsi="Calibri Light" w:cs="Calibri Light"/>
          <w:sz w:val="18"/>
          <w:szCs w:val="18"/>
        </w:rPr>
        <w:t xml:space="preserve"> </w:t>
      </w:r>
      <w:r w:rsidRPr="00287268">
        <w:rPr>
          <w:rFonts w:ascii="Calibri Light" w:hAnsi="Calibri Light" w:cs="Calibri Light"/>
          <w:sz w:val="18"/>
          <w:szCs w:val="18"/>
        </w:rPr>
        <w:t>Therefore, long term cumulative exposure to air pollution contributed to shortening of survival time, whereas air pollution during the final days of life had no further life-shortening effect.</w:t>
      </w:r>
    </w:p>
    <w:p w14:paraId="7C11AB8B" w14:textId="77777777" w:rsidR="00B43DD8" w:rsidRPr="00A30C55" w:rsidRDefault="00B43DD8" w:rsidP="00B95D58">
      <w:pPr>
        <w:pStyle w:val="ListParagraph"/>
        <w:spacing w:after="0" w:line="240" w:lineRule="auto"/>
        <w:jc w:val="both"/>
        <w:rPr>
          <w:rFonts w:ascii="Calibri Light" w:hAnsi="Calibri Light" w:cs="Calibri Light"/>
          <w:sz w:val="18"/>
          <w:szCs w:val="18"/>
        </w:rPr>
      </w:pPr>
    </w:p>
    <w:p w14:paraId="4CEEE0BE" w14:textId="1399C028" w:rsidR="00B43DD8" w:rsidRPr="00287268" w:rsidRDefault="00B43DD8" w:rsidP="00B95D58">
      <w:pPr>
        <w:pStyle w:val="ListParagraph"/>
        <w:numPr>
          <w:ilvl w:val="0"/>
          <w:numId w:val="1"/>
        </w:numPr>
        <w:spacing w:after="0" w:line="240" w:lineRule="auto"/>
        <w:ind w:left="714" w:hanging="357"/>
        <w:contextualSpacing w:val="0"/>
        <w:jc w:val="both"/>
        <w:rPr>
          <w:rFonts w:ascii="Calibri Light" w:hAnsi="Calibri Light" w:cs="Calibri Light"/>
          <w:sz w:val="18"/>
          <w:szCs w:val="18"/>
        </w:rPr>
      </w:pPr>
      <w:r w:rsidRPr="00287268">
        <w:rPr>
          <w:rFonts w:ascii="Calibri Light" w:hAnsi="Calibri Light" w:cs="Calibri Light"/>
          <w:sz w:val="18"/>
          <w:szCs w:val="18"/>
        </w:rPr>
        <w:t xml:space="preserve">Among deaths in </w:t>
      </w:r>
      <w:r w:rsidRPr="00287268">
        <w:rPr>
          <w:rFonts w:ascii="Calibri Light" w:hAnsi="Calibri Light" w:cs="Calibri Light"/>
          <w:b/>
          <w:bCs/>
          <w:sz w:val="18"/>
          <w:szCs w:val="18"/>
        </w:rPr>
        <w:t>category C</w:t>
      </w:r>
      <w:r w:rsidRPr="00287268">
        <w:rPr>
          <w:rFonts w:ascii="Calibri Light" w:hAnsi="Calibri Light" w:cs="Calibri Light"/>
          <w:sz w:val="18"/>
          <w:szCs w:val="18"/>
        </w:rPr>
        <w:t xml:space="preserve">, reduced health status or frailty is not related to air pollution, but ambient air pollution experienced before death may trigger the terminal event. </w:t>
      </w:r>
      <w:r w:rsidR="00204A89">
        <w:rPr>
          <w:rFonts w:ascii="Calibri Light" w:hAnsi="Calibri Light" w:cs="Calibri Light"/>
          <w:sz w:val="18"/>
          <w:szCs w:val="18"/>
        </w:rPr>
        <w:t xml:space="preserve"> </w:t>
      </w:r>
      <w:r w:rsidRPr="00287268">
        <w:rPr>
          <w:rFonts w:ascii="Calibri Light" w:hAnsi="Calibri Light" w:cs="Calibri Light"/>
          <w:sz w:val="18"/>
          <w:szCs w:val="18"/>
        </w:rPr>
        <w:t>For example, a person with diabetes mellitus may be susceptible to heart attacks due to long-standing coronary disease; in such a case, an air pollution episode may trigger the fatal infarction leading to hospital admission, arrhythmia, or death.</w:t>
      </w:r>
    </w:p>
    <w:p w14:paraId="40E4DFE5" w14:textId="77777777" w:rsidR="00B43DD8" w:rsidRPr="0043214C" w:rsidRDefault="00B43DD8" w:rsidP="00B95D58">
      <w:pPr>
        <w:rPr>
          <w:rFonts w:ascii="Calibri Light" w:hAnsi="Calibri Light" w:cs="Calibri Light"/>
          <w:sz w:val="18"/>
          <w:szCs w:val="18"/>
        </w:rPr>
      </w:pPr>
    </w:p>
    <w:p w14:paraId="276E311B" w14:textId="76DCBBB4" w:rsidR="00B43DD8" w:rsidRDefault="00B43DD8" w:rsidP="007E7DE6">
      <w:pPr>
        <w:pStyle w:val="ListParagraph"/>
        <w:numPr>
          <w:ilvl w:val="0"/>
          <w:numId w:val="1"/>
        </w:numPr>
        <w:spacing w:after="120" w:line="240" w:lineRule="auto"/>
        <w:contextualSpacing w:val="0"/>
        <w:jc w:val="both"/>
        <w:rPr>
          <w:rFonts w:ascii="Calibri Light" w:hAnsi="Calibri Light" w:cs="Calibri Light"/>
          <w:sz w:val="18"/>
          <w:szCs w:val="18"/>
        </w:rPr>
      </w:pPr>
      <w:r w:rsidRPr="00287268">
        <w:rPr>
          <w:rFonts w:ascii="Calibri Light" w:hAnsi="Calibri Light" w:cs="Calibri Light"/>
          <w:sz w:val="18"/>
          <w:szCs w:val="18"/>
        </w:rPr>
        <w:t xml:space="preserve">Finally, in </w:t>
      </w:r>
      <w:r w:rsidRPr="00287268">
        <w:rPr>
          <w:rFonts w:ascii="Calibri Light" w:hAnsi="Calibri Light" w:cs="Calibri Light"/>
          <w:b/>
          <w:bCs/>
          <w:sz w:val="18"/>
          <w:szCs w:val="18"/>
        </w:rPr>
        <w:t>category D</w:t>
      </w:r>
      <w:r w:rsidRPr="00287268">
        <w:rPr>
          <w:rFonts w:ascii="Calibri Light" w:hAnsi="Calibri Light" w:cs="Calibri Light"/>
          <w:sz w:val="18"/>
          <w:szCs w:val="18"/>
        </w:rPr>
        <w:t xml:space="preserve">, neither disease history nor the event of death </w:t>
      </w:r>
      <w:proofErr w:type="gramStart"/>
      <w:r w:rsidRPr="00287268">
        <w:rPr>
          <w:rFonts w:ascii="Calibri Light" w:hAnsi="Calibri Light" w:cs="Calibri Light"/>
          <w:sz w:val="18"/>
          <w:szCs w:val="18"/>
        </w:rPr>
        <w:t>are</w:t>
      </w:r>
      <w:proofErr w:type="gramEnd"/>
      <w:r w:rsidRPr="00287268">
        <w:rPr>
          <w:rFonts w:ascii="Calibri Light" w:hAnsi="Calibri Light" w:cs="Calibri Light"/>
          <w:sz w:val="18"/>
          <w:szCs w:val="18"/>
        </w:rPr>
        <w:t xml:space="preserve"> related to air pollution. </w:t>
      </w:r>
      <w:r w:rsidR="00207350">
        <w:rPr>
          <w:rFonts w:ascii="Calibri Light" w:hAnsi="Calibri Light" w:cs="Calibri Light"/>
          <w:sz w:val="18"/>
          <w:szCs w:val="18"/>
        </w:rPr>
        <w:t xml:space="preserve">In reality (unlike </w:t>
      </w:r>
      <w:r w:rsidR="00207350" w:rsidRPr="00FE4C37">
        <w:rPr>
          <w:rFonts w:ascii="Calibri Light" w:hAnsi="Calibri Light" w:cs="Calibri Light"/>
          <w:b/>
          <w:bCs/>
          <w:sz w:val="18"/>
          <w:szCs w:val="18"/>
        </w:rPr>
        <w:t>Figure 1</w:t>
      </w:r>
      <w:r w:rsidR="00207350">
        <w:rPr>
          <w:rFonts w:ascii="Calibri Light" w:hAnsi="Calibri Light" w:cs="Calibri Light"/>
          <w:sz w:val="18"/>
          <w:szCs w:val="18"/>
        </w:rPr>
        <w:t>) category D is much larger than all other categories.</w:t>
      </w:r>
    </w:p>
    <w:p w14:paraId="70DE13C8" w14:textId="1880A545" w:rsidR="00204A89" w:rsidRDefault="00B43DD8" w:rsidP="00B9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8"/>
          <w:szCs w:val="18"/>
        </w:rPr>
      </w:pPr>
      <w:r w:rsidRPr="0040199D">
        <w:rPr>
          <w:rFonts w:ascii="Calibri Light" w:hAnsi="Calibri Light" w:cs="Calibri Light"/>
          <w:sz w:val="18"/>
          <w:szCs w:val="18"/>
        </w:rPr>
        <w:t>The calculation of air pollution attributable deaths ought to include categories A, B and C.</w:t>
      </w:r>
    </w:p>
    <w:p w14:paraId="1A50FBEB" w14:textId="77777777" w:rsidR="00B95D58" w:rsidRDefault="00B95D58" w:rsidP="00B9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8"/>
          <w:szCs w:val="18"/>
        </w:rPr>
      </w:pPr>
    </w:p>
    <w:p w14:paraId="495E9547" w14:textId="17268D77" w:rsidR="00B43DD8" w:rsidRPr="00204A89" w:rsidRDefault="00B43DD8" w:rsidP="007E7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Light" w:hAnsi="Calibri Light" w:cs="Calibri Light"/>
          <w:b/>
          <w:bCs/>
          <w:sz w:val="18"/>
          <w:szCs w:val="18"/>
        </w:rPr>
      </w:pPr>
      <w:r w:rsidRPr="00204A89">
        <w:rPr>
          <w:rFonts w:ascii="Calibri Light" w:hAnsi="Calibri Light" w:cs="Calibri Light"/>
          <w:b/>
          <w:bCs/>
          <w:sz w:val="18"/>
          <w:szCs w:val="18"/>
          <w:highlight w:val="lightGray"/>
        </w:rPr>
        <w:t>The policy outcome of this is that air quality guidelines are needed for different exposure periods to protect against different health effects.</w:t>
      </w:r>
    </w:p>
    <w:p w14:paraId="2CAD21C7" w14:textId="69CF9D5C" w:rsidR="00584CFF" w:rsidRPr="00B43DD8" w:rsidRDefault="00584CFF" w:rsidP="00584CFF">
      <w:pPr>
        <w:pStyle w:val="Heading1"/>
        <w:rPr>
          <w:color w:val="ED7D31" w:themeColor="accent2"/>
        </w:rPr>
      </w:pPr>
      <w:r>
        <w:rPr>
          <w:color w:val="ED7D31" w:themeColor="accent2"/>
        </w:rPr>
        <w:t>Setting WHO 2021 Air Quality Guidelines</w:t>
      </w:r>
    </w:p>
    <w:p w14:paraId="51B9545E" w14:textId="22A98C03" w:rsidR="0069460E" w:rsidRDefault="0069460E" w:rsidP="007E7DE6">
      <w:pPr>
        <w:spacing w:after="120"/>
        <w:rPr>
          <w:rFonts w:ascii="Calibri Light" w:hAnsi="Calibri Light" w:cs="Calibri Light"/>
          <w:sz w:val="18"/>
          <w:szCs w:val="16"/>
        </w:rPr>
      </w:pPr>
      <w:r>
        <w:rPr>
          <w:rFonts w:ascii="Calibri Light" w:hAnsi="Calibri Light" w:cs="Calibri Light"/>
          <w:sz w:val="18"/>
          <w:szCs w:val="16"/>
        </w:rPr>
        <w:t>The WHO 2021 air quality guidelines (AQG) were developed using the protocol outlined in WHO, 2021, with extensive internal and external review.</w:t>
      </w:r>
    </w:p>
    <w:p w14:paraId="2F1EE830" w14:textId="3AF7DBD5" w:rsidR="00584CFF" w:rsidRPr="00584CFF" w:rsidRDefault="00584CFF" w:rsidP="007E7DE6">
      <w:pPr>
        <w:spacing w:after="120"/>
        <w:rPr>
          <w:rFonts w:ascii="Calibri Light" w:hAnsi="Calibri Light" w:cs="Calibri Light"/>
          <w:sz w:val="18"/>
          <w:szCs w:val="16"/>
        </w:rPr>
      </w:pPr>
      <w:r w:rsidRPr="00584CFF">
        <w:rPr>
          <w:rFonts w:ascii="Calibri Light" w:hAnsi="Calibri Light" w:cs="Calibri Light"/>
          <w:i/>
          <w:iCs/>
          <w:sz w:val="18"/>
          <w:szCs w:val="16"/>
        </w:rPr>
        <w:t>Long-term</w:t>
      </w:r>
      <w:r w:rsidRPr="00584CFF">
        <w:rPr>
          <w:rFonts w:ascii="Calibri Light" w:hAnsi="Calibri Light" w:cs="Calibri Light"/>
          <w:sz w:val="18"/>
          <w:szCs w:val="16"/>
        </w:rPr>
        <w:t xml:space="preserve"> (annual mean, or for ozone, highest six-month average) AQG levels are defined as the lowest exposure level of an air pollutant above which WHO is confident that there is an increase in adverse health effects. This confidence is primarily based on there being moderate or high certainty of evidence for an association between a specific pollutant and a specific health outcome.</w:t>
      </w:r>
    </w:p>
    <w:p w14:paraId="4FBE5034" w14:textId="678BD01A" w:rsidR="00584CFF" w:rsidRDefault="00584CFF" w:rsidP="00584CFF">
      <w:pPr>
        <w:rPr>
          <w:rFonts w:ascii="Calibri Light" w:hAnsi="Calibri Light" w:cs="Calibri Light"/>
          <w:sz w:val="18"/>
          <w:szCs w:val="16"/>
        </w:rPr>
      </w:pPr>
      <w:r w:rsidRPr="00584CFF">
        <w:rPr>
          <w:rFonts w:ascii="Calibri Light" w:hAnsi="Calibri Light" w:cs="Calibri Light"/>
          <w:i/>
          <w:iCs/>
          <w:sz w:val="18"/>
          <w:szCs w:val="16"/>
        </w:rPr>
        <w:t>Short-term</w:t>
      </w:r>
      <w:r w:rsidRPr="00584CFF">
        <w:rPr>
          <w:rFonts w:ascii="Calibri Light" w:hAnsi="Calibri Light" w:cs="Calibri Light"/>
          <w:sz w:val="18"/>
          <w:szCs w:val="16"/>
        </w:rPr>
        <w:t xml:space="preserve"> AQG levels are typically defined as a high percentile (e.g., 98</w:t>
      </w:r>
      <w:r w:rsidRPr="00584CFF">
        <w:rPr>
          <w:rFonts w:ascii="Calibri Light" w:hAnsi="Calibri Light" w:cs="Calibri Light"/>
          <w:sz w:val="18"/>
          <w:szCs w:val="16"/>
          <w:vertAlign w:val="superscript"/>
        </w:rPr>
        <w:t>th</w:t>
      </w:r>
      <w:r w:rsidRPr="00584CFF">
        <w:rPr>
          <w:rFonts w:ascii="Calibri Light" w:hAnsi="Calibri Light" w:cs="Calibri Light"/>
          <w:sz w:val="18"/>
          <w:szCs w:val="16"/>
        </w:rPr>
        <w:t xml:space="preserve"> or 99</w:t>
      </w:r>
      <w:r w:rsidRPr="00584CFF">
        <w:rPr>
          <w:rFonts w:ascii="Calibri Light" w:hAnsi="Calibri Light" w:cs="Calibri Light"/>
          <w:sz w:val="18"/>
          <w:szCs w:val="16"/>
          <w:vertAlign w:val="superscript"/>
        </w:rPr>
        <w:t>th</w:t>
      </w:r>
      <w:r w:rsidRPr="00584CFF">
        <w:rPr>
          <w:rFonts w:ascii="Calibri Light" w:hAnsi="Calibri Light" w:cs="Calibri Light"/>
          <w:sz w:val="18"/>
          <w:szCs w:val="16"/>
        </w:rPr>
        <w:t xml:space="preserve">) of concentrations empirically observed in distributions with a mean equal to the long-term AQG </w:t>
      </w:r>
      <w:r w:rsidRPr="00584CFF">
        <w:rPr>
          <w:rFonts w:ascii="Calibri Light" w:hAnsi="Calibri Light" w:cs="Calibri Light"/>
          <w:sz w:val="18"/>
          <w:szCs w:val="16"/>
        </w:rPr>
        <w:t>level.</w:t>
      </w:r>
      <w:r w:rsidRPr="00584CFF">
        <w:rPr>
          <w:rStyle w:val="FootnoteReference"/>
          <w:rFonts w:ascii="Calibri Light" w:hAnsi="Calibri Light" w:cs="Calibri Light"/>
          <w:sz w:val="18"/>
          <w:szCs w:val="16"/>
        </w:rPr>
        <w:footnoteReference w:id="1"/>
      </w:r>
      <w:r w:rsidRPr="00584CFF">
        <w:rPr>
          <w:rFonts w:ascii="Calibri Light" w:hAnsi="Calibri Light" w:cs="Calibri Light"/>
          <w:sz w:val="18"/>
          <w:szCs w:val="16"/>
        </w:rPr>
        <w:t xml:space="preserve"> The reasoning behind this is that for locations in which concentrations are below the long-term AQG, days with such high daily mean concentrations will be rare and a large proportion of days will have concentrations below the long-term AQG level. This means that the health burden related to a few days with higher concentrations corresponds to a very small fraction of total air pollution-related burden. The rationale for choosing a high percentile and not the maximum is that the maximum of daily values for a given year is a less stable statistic than the high percentiles.</w:t>
      </w:r>
    </w:p>
    <w:p w14:paraId="38B70F1A" w14:textId="77777777" w:rsidR="00584CFF" w:rsidRPr="00584CFF" w:rsidRDefault="00584CFF" w:rsidP="00584CFF">
      <w:pPr>
        <w:rPr>
          <w:rFonts w:ascii="Calibri Light" w:hAnsi="Calibri Light" w:cs="Calibri Light"/>
          <w:sz w:val="18"/>
          <w:szCs w:val="16"/>
        </w:rPr>
      </w:pPr>
    </w:p>
    <w:p w14:paraId="5B0ABEDC" w14:textId="5317C1C4" w:rsidR="00E2309C" w:rsidRPr="00584CFF" w:rsidRDefault="00584CFF" w:rsidP="00584CFF">
      <w:pPr>
        <w:rPr>
          <w:rFonts w:ascii="Calibri Light" w:hAnsi="Calibri Light" w:cs="Calibri Light"/>
          <w:sz w:val="18"/>
          <w:szCs w:val="16"/>
        </w:rPr>
      </w:pPr>
      <w:r w:rsidRPr="00584CFF">
        <w:rPr>
          <w:rFonts w:ascii="Calibri Light" w:hAnsi="Calibri Light" w:cs="Calibri Light"/>
          <w:sz w:val="18"/>
          <w:szCs w:val="16"/>
        </w:rPr>
        <w:t>It is important to note that the approach to setting guidelines does not identify safe levels and is not based on a defined level of acceptable risk (i.e., the guidelines are not “no adverse effect levels”).</w:t>
      </w:r>
    </w:p>
    <w:p w14:paraId="28D2D49F" w14:textId="56C7B63C" w:rsidR="00C228E5" w:rsidRPr="00C228E5" w:rsidRDefault="00C228E5" w:rsidP="00C228E5">
      <w:pPr>
        <w:pStyle w:val="Heading1"/>
        <w:pBdr>
          <w:top w:val="single" w:sz="4" w:space="1" w:color="auto"/>
        </w:pBdr>
        <w:rPr>
          <w:color w:val="ED7D31" w:themeColor="accent2"/>
        </w:rPr>
      </w:pPr>
      <w:r w:rsidRPr="00C228E5">
        <w:rPr>
          <w:color w:val="ED7D31" w:themeColor="accent2"/>
        </w:rPr>
        <w:t>References</w:t>
      </w:r>
    </w:p>
    <w:p w14:paraId="268C9781" w14:textId="5A56106B" w:rsidR="00672E41" w:rsidRDefault="00584CFF" w:rsidP="00672E41">
      <w:pPr>
        <w:ind w:left="426" w:hanging="426"/>
        <w:jc w:val="left"/>
        <w:rPr>
          <w:rFonts w:ascii="Calibri Light" w:hAnsi="Calibri Light" w:cs="Calibri Light"/>
          <w:sz w:val="16"/>
          <w:szCs w:val="16"/>
        </w:rPr>
      </w:pPr>
      <w:r w:rsidRPr="00343FAC">
        <w:rPr>
          <w:rFonts w:ascii="Calibri Light" w:hAnsi="Calibri Light" w:cs="Calibri Light"/>
          <w:sz w:val="16"/>
          <w:szCs w:val="16"/>
        </w:rPr>
        <w:t>Chen J., Hoek G., 2020.</w:t>
      </w:r>
      <w:r w:rsidRPr="00343FAC">
        <w:rPr>
          <w:rFonts w:ascii="Calibri Light" w:hAnsi="Calibri Light" w:cs="Calibri Light"/>
          <w:b/>
          <w:bCs/>
          <w:sz w:val="16"/>
          <w:szCs w:val="16"/>
        </w:rPr>
        <w:t xml:space="preserve"> </w:t>
      </w:r>
      <w:r w:rsidRPr="00343FAC">
        <w:rPr>
          <w:rFonts w:ascii="Calibri Light" w:hAnsi="Calibri Light" w:cs="Calibri Light"/>
          <w:sz w:val="16"/>
          <w:szCs w:val="16"/>
        </w:rPr>
        <w:t xml:space="preserve">Long-Term exposure to PM and all-cause and cause-specific mortality: A systematic review and meta-analysis. </w:t>
      </w:r>
      <w:r w:rsidRPr="00343FAC">
        <w:rPr>
          <w:rFonts w:ascii="Calibri Light" w:hAnsi="Calibri Light" w:cs="Calibri Light"/>
          <w:i/>
          <w:iCs/>
          <w:sz w:val="16"/>
          <w:szCs w:val="16"/>
        </w:rPr>
        <w:t>Env Int</w:t>
      </w:r>
      <w:r w:rsidRPr="00343FAC">
        <w:rPr>
          <w:rFonts w:ascii="Calibri Light" w:hAnsi="Calibri Light" w:cs="Calibri Light"/>
          <w:sz w:val="16"/>
          <w:szCs w:val="16"/>
        </w:rPr>
        <w:t xml:space="preserve">. Vol 143. October 2020. 105974. </w:t>
      </w:r>
      <w:r w:rsidRPr="00343FAC">
        <w:rPr>
          <w:rFonts w:ascii="Calibri Light" w:eastAsiaTheme="majorEastAsia" w:hAnsi="Calibri Light" w:cs="Calibri Light"/>
          <w:sz w:val="16"/>
          <w:szCs w:val="16"/>
        </w:rPr>
        <w:t>doi.org/10.1016/j.envint.2020.105974</w:t>
      </w:r>
    </w:p>
    <w:p w14:paraId="07D29B1F" w14:textId="19C5BDB4" w:rsidR="00731110" w:rsidRPr="009461A5" w:rsidRDefault="00584CFF" w:rsidP="00731110">
      <w:pPr>
        <w:ind w:left="567" w:hanging="567"/>
        <w:jc w:val="left"/>
        <w:rPr>
          <w:rFonts w:ascii="Calibri Light" w:hAnsi="Calibri Light" w:cs="Calibri Light"/>
          <w:sz w:val="16"/>
          <w:szCs w:val="14"/>
        </w:rPr>
      </w:pPr>
      <w:r w:rsidRPr="00343FAC">
        <w:rPr>
          <w:rFonts w:ascii="Calibri Light" w:hAnsi="Calibri Light" w:cs="Calibri Light"/>
          <w:sz w:val="16"/>
          <w:szCs w:val="16"/>
        </w:rPr>
        <w:t>Huangfu P., Atkinson R., 2020.</w:t>
      </w:r>
      <w:r w:rsidRPr="00343FAC">
        <w:rPr>
          <w:rFonts w:ascii="Calibri Light" w:hAnsi="Calibri Light" w:cs="Calibri Light"/>
          <w:b/>
          <w:bCs/>
          <w:sz w:val="16"/>
          <w:szCs w:val="16"/>
        </w:rPr>
        <w:t xml:space="preserve"> </w:t>
      </w:r>
      <w:r w:rsidRPr="00343FAC">
        <w:rPr>
          <w:rFonts w:ascii="Calibri Light" w:hAnsi="Calibri Light" w:cs="Calibri Light"/>
          <w:sz w:val="16"/>
          <w:szCs w:val="16"/>
        </w:rPr>
        <w:t>Long-Term exposure to NO</w:t>
      </w:r>
      <w:r w:rsidRPr="00343FAC">
        <w:rPr>
          <w:rFonts w:ascii="Calibri Light" w:hAnsi="Calibri Light" w:cs="Calibri Light"/>
          <w:sz w:val="16"/>
          <w:szCs w:val="16"/>
          <w:vertAlign w:val="subscript"/>
        </w:rPr>
        <w:t>2</w:t>
      </w:r>
      <w:r w:rsidRPr="00343FAC">
        <w:rPr>
          <w:rFonts w:ascii="Calibri Light" w:hAnsi="Calibri Light" w:cs="Calibri Light"/>
          <w:sz w:val="16"/>
          <w:szCs w:val="16"/>
        </w:rPr>
        <w:t xml:space="preserve"> and O</w:t>
      </w:r>
      <w:r w:rsidRPr="00343FAC">
        <w:rPr>
          <w:rFonts w:ascii="Calibri Light" w:hAnsi="Calibri Light" w:cs="Calibri Light"/>
          <w:sz w:val="16"/>
          <w:szCs w:val="16"/>
          <w:vertAlign w:val="subscript"/>
        </w:rPr>
        <w:t>3</w:t>
      </w:r>
      <w:r w:rsidRPr="00343FAC">
        <w:rPr>
          <w:rFonts w:ascii="Calibri Light" w:hAnsi="Calibri Light" w:cs="Calibri Light"/>
          <w:sz w:val="16"/>
          <w:szCs w:val="16"/>
        </w:rPr>
        <w:t xml:space="preserve"> and all-cause and respiratory mortality: A systematic review and meta-analysis</w:t>
      </w:r>
      <w:r w:rsidRPr="00343FAC">
        <w:rPr>
          <w:rFonts w:ascii="Calibri Light" w:hAnsi="Calibri Light" w:cs="Calibri Light"/>
          <w:i/>
          <w:iCs/>
          <w:sz w:val="16"/>
          <w:szCs w:val="16"/>
        </w:rPr>
        <w:t>.</w:t>
      </w:r>
      <w:r w:rsidRPr="00343FAC">
        <w:rPr>
          <w:rFonts w:ascii="Calibri Light" w:hAnsi="Calibri Light" w:cs="Calibri Light"/>
          <w:sz w:val="16"/>
          <w:szCs w:val="16"/>
        </w:rPr>
        <w:t xml:space="preserve"> </w:t>
      </w:r>
      <w:r w:rsidRPr="00343FAC">
        <w:rPr>
          <w:rFonts w:ascii="Calibri Light" w:hAnsi="Calibri Light" w:cs="Calibri Light"/>
          <w:i/>
          <w:iCs/>
          <w:sz w:val="16"/>
          <w:szCs w:val="16"/>
        </w:rPr>
        <w:t>Env Int</w:t>
      </w:r>
      <w:r w:rsidRPr="00343FAC">
        <w:rPr>
          <w:rFonts w:ascii="Calibri Light" w:hAnsi="Calibri Light" w:cs="Calibri Light"/>
          <w:sz w:val="16"/>
          <w:szCs w:val="16"/>
        </w:rPr>
        <w:t xml:space="preserve">. Vol 144. November 2020. 105998. </w:t>
      </w:r>
      <w:r w:rsidRPr="00343FAC">
        <w:rPr>
          <w:rFonts w:ascii="Calibri Light" w:eastAsiaTheme="majorEastAsia" w:hAnsi="Calibri Light" w:cs="Calibri Light"/>
          <w:sz w:val="16"/>
          <w:szCs w:val="16"/>
        </w:rPr>
        <w:t>doi.org/10.1016/j.envint.2020.105998</w:t>
      </w:r>
    </w:p>
    <w:p w14:paraId="7D0BF490" w14:textId="05B3F5E2" w:rsidR="00757E3C" w:rsidRPr="00757E3C" w:rsidRDefault="00757E3C" w:rsidP="00C228E5">
      <w:pPr>
        <w:ind w:left="567" w:hanging="567"/>
        <w:jc w:val="left"/>
        <w:rPr>
          <w:rFonts w:ascii="Calibri Light" w:hAnsi="Calibri Light" w:cs="Calibri Light"/>
          <w:sz w:val="16"/>
          <w:szCs w:val="14"/>
        </w:rPr>
      </w:pPr>
      <w:proofErr w:type="spellStart"/>
      <w:r w:rsidRPr="00757E3C">
        <w:rPr>
          <w:rFonts w:ascii="Calibri Light" w:hAnsi="Calibri Light" w:cs="Calibri Light"/>
          <w:sz w:val="16"/>
          <w:szCs w:val="14"/>
        </w:rPr>
        <w:t>Künzli</w:t>
      </w:r>
      <w:proofErr w:type="spellEnd"/>
      <w:r w:rsidRPr="00757E3C">
        <w:rPr>
          <w:rFonts w:ascii="Calibri Light" w:hAnsi="Calibri Light" w:cs="Calibri Light"/>
          <w:sz w:val="16"/>
          <w:szCs w:val="14"/>
        </w:rPr>
        <w:t xml:space="preserve">, N., Medina, S., Kaiser, R., </w:t>
      </w:r>
      <w:proofErr w:type="spellStart"/>
      <w:r w:rsidRPr="00757E3C">
        <w:rPr>
          <w:rFonts w:ascii="Calibri Light" w:hAnsi="Calibri Light" w:cs="Calibri Light"/>
          <w:sz w:val="16"/>
          <w:szCs w:val="14"/>
        </w:rPr>
        <w:t>Quénel</w:t>
      </w:r>
      <w:proofErr w:type="spellEnd"/>
      <w:r w:rsidRPr="00757E3C">
        <w:rPr>
          <w:rFonts w:ascii="Calibri Light" w:hAnsi="Calibri Light" w:cs="Calibri Light"/>
          <w:sz w:val="16"/>
          <w:szCs w:val="14"/>
        </w:rPr>
        <w:t xml:space="preserve">, P., Horak, F. and Studnicka, M. 2001. Assessment of deaths attributable to air pollution: Should we use risk estimates based on time series or on cohort </w:t>
      </w:r>
      <w:proofErr w:type="gramStart"/>
      <w:r w:rsidRPr="00757E3C">
        <w:rPr>
          <w:rFonts w:ascii="Calibri Light" w:hAnsi="Calibri Light" w:cs="Calibri Light"/>
          <w:sz w:val="16"/>
          <w:szCs w:val="14"/>
        </w:rPr>
        <w:t>studies?.</w:t>
      </w:r>
      <w:proofErr w:type="gramEnd"/>
      <w:r w:rsidRPr="00757E3C">
        <w:rPr>
          <w:rFonts w:ascii="Calibri Light" w:hAnsi="Calibri Light" w:cs="Calibri Light"/>
          <w:sz w:val="16"/>
          <w:szCs w:val="14"/>
        </w:rPr>
        <w:t xml:space="preserve"> Am. J. </w:t>
      </w:r>
      <w:proofErr w:type="spellStart"/>
      <w:r w:rsidRPr="00757E3C">
        <w:rPr>
          <w:rFonts w:ascii="Calibri Light" w:hAnsi="Calibri Light" w:cs="Calibri Light"/>
          <w:sz w:val="16"/>
          <w:szCs w:val="14"/>
        </w:rPr>
        <w:t>Epidemiol</w:t>
      </w:r>
      <w:proofErr w:type="spellEnd"/>
      <w:r w:rsidRPr="00757E3C">
        <w:rPr>
          <w:rFonts w:ascii="Calibri Light" w:hAnsi="Calibri Light" w:cs="Calibri Light"/>
          <w:sz w:val="16"/>
          <w:szCs w:val="14"/>
        </w:rPr>
        <w:t>., 153: 1050–1055.</w:t>
      </w:r>
    </w:p>
    <w:p w14:paraId="54DD68BE" w14:textId="7F7CF8CE" w:rsidR="00C228E5" w:rsidRPr="00A46B64" w:rsidRDefault="00584CFF" w:rsidP="00C228E5">
      <w:pPr>
        <w:ind w:left="567" w:hanging="567"/>
        <w:jc w:val="left"/>
        <w:rPr>
          <w:rFonts w:ascii="Calibri Light" w:eastAsia="MS Mincho" w:hAnsi="Calibri Light" w:cs="Times New Roman"/>
          <w:sz w:val="16"/>
          <w:szCs w:val="16"/>
          <w:lang w:eastAsia="en-US"/>
        </w:rPr>
      </w:pPr>
      <w:r w:rsidRPr="00343FAC">
        <w:rPr>
          <w:rFonts w:ascii="Calibri Light" w:hAnsi="Calibri Light" w:cs="Calibri Light"/>
          <w:sz w:val="16"/>
          <w:szCs w:val="16"/>
        </w:rPr>
        <w:t>Lee K.K., Spath N., Miller M.R., Mills N.L., Shah A.S.V., 2020. Short-term exposure to carbon monoxide and myocardial infarction: A systematic review and meta-analysis</w:t>
      </w:r>
      <w:r w:rsidRPr="00343FAC">
        <w:rPr>
          <w:rFonts w:ascii="Calibri Light" w:hAnsi="Calibri Light" w:cs="Calibri Light"/>
          <w:i/>
          <w:iCs/>
          <w:sz w:val="16"/>
          <w:szCs w:val="16"/>
        </w:rPr>
        <w:t>. Env Int</w:t>
      </w:r>
      <w:r w:rsidRPr="00343FAC">
        <w:rPr>
          <w:rFonts w:ascii="Calibri Light" w:hAnsi="Calibri Light" w:cs="Calibri Light"/>
          <w:sz w:val="16"/>
          <w:szCs w:val="16"/>
        </w:rPr>
        <w:t xml:space="preserve">. Vol 143. July 2020. 105901. </w:t>
      </w:r>
      <w:r w:rsidRPr="00343FAC">
        <w:rPr>
          <w:rFonts w:ascii="Calibri Light" w:eastAsiaTheme="majorEastAsia" w:hAnsi="Calibri Light" w:cs="Calibri Light"/>
          <w:sz w:val="16"/>
          <w:szCs w:val="16"/>
        </w:rPr>
        <w:t>doi.org/10.1016/j.envint.2020.105901</w:t>
      </w:r>
      <w:r w:rsidRPr="00343FAC">
        <w:rPr>
          <w:rFonts w:ascii="Calibri Light" w:hAnsi="Calibri Light" w:cs="Calibri Light"/>
          <w:sz w:val="16"/>
          <w:szCs w:val="16"/>
        </w:rPr>
        <w:t xml:space="preserve"> </w:t>
      </w:r>
      <w:r w:rsidRPr="00343FAC">
        <w:rPr>
          <w:rFonts w:ascii="Calibri Light" w:eastAsia="MS Mincho" w:hAnsi="Calibri Light" w:cs="Calibri Light"/>
          <w:sz w:val="12"/>
          <w:szCs w:val="12"/>
          <w:lang w:eastAsia="en-US"/>
        </w:rPr>
        <w:t xml:space="preserve"> </w:t>
      </w:r>
    </w:p>
    <w:p w14:paraId="614E921B" w14:textId="77777777" w:rsidR="00584CFF" w:rsidRPr="00343FAC" w:rsidRDefault="00584CFF" w:rsidP="00584CFF">
      <w:pPr>
        <w:pStyle w:val="ESRReferencesNumbering"/>
        <w:numPr>
          <w:ilvl w:val="0"/>
          <w:numId w:val="0"/>
        </w:numPr>
        <w:spacing w:after="0"/>
        <w:ind w:left="567" w:hanging="567"/>
        <w:rPr>
          <w:rFonts w:ascii="Calibri Light" w:hAnsi="Calibri Light" w:cs="Calibri Light"/>
          <w:sz w:val="12"/>
          <w:szCs w:val="12"/>
        </w:rPr>
      </w:pPr>
      <w:r w:rsidRPr="00343FAC">
        <w:rPr>
          <w:rFonts w:ascii="Calibri Light" w:hAnsi="Calibri Light" w:cs="Calibri Light"/>
          <w:sz w:val="16"/>
          <w:szCs w:val="16"/>
        </w:rPr>
        <w:t>Orellano P., Reynoso J., Quaranta N., Bardach A., Ciapponi A., 2020.</w:t>
      </w:r>
      <w:r w:rsidRPr="00343FAC">
        <w:rPr>
          <w:rFonts w:ascii="Calibri Light" w:hAnsi="Calibri Light" w:cs="Calibri Light"/>
          <w:b/>
          <w:bCs/>
          <w:sz w:val="16"/>
          <w:szCs w:val="16"/>
        </w:rPr>
        <w:t xml:space="preserve"> </w:t>
      </w:r>
      <w:r w:rsidRPr="00343FAC">
        <w:rPr>
          <w:rFonts w:ascii="Calibri Light" w:hAnsi="Calibri Light" w:cs="Calibri Light"/>
          <w:sz w:val="16"/>
          <w:szCs w:val="16"/>
        </w:rPr>
        <w:t>Short-Term exposure to particulate matter (PM</w:t>
      </w:r>
      <w:r w:rsidRPr="00343FAC">
        <w:rPr>
          <w:rFonts w:ascii="Calibri Light" w:hAnsi="Calibri Light" w:cs="Calibri Light"/>
          <w:sz w:val="16"/>
          <w:szCs w:val="16"/>
          <w:vertAlign w:val="subscript"/>
        </w:rPr>
        <w:t>10</w:t>
      </w:r>
      <w:r w:rsidRPr="00343FAC">
        <w:rPr>
          <w:rFonts w:ascii="Calibri Light" w:hAnsi="Calibri Light" w:cs="Calibri Light"/>
          <w:sz w:val="16"/>
          <w:szCs w:val="16"/>
        </w:rPr>
        <w:t xml:space="preserve"> and PM</w:t>
      </w:r>
      <w:r w:rsidRPr="00343FAC">
        <w:rPr>
          <w:rFonts w:ascii="Calibri Light" w:hAnsi="Calibri Light" w:cs="Calibri Light"/>
          <w:sz w:val="16"/>
          <w:szCs w:val="16"/>
          <w:vertAlign w:val="subscript"/>
        </w:rPr>
        <w:t>2.5</w:t>
      </w:r>
      <w:r w:rsidRPr="00343FAC">
        <w:rPr>
          <w:rFonts w:ascii="Calibri Light" w:hAnsi="Calibri Light" w:cs="Calibri Light"/>
          <w:sz w:val="16"/>
          <w:szCs w:val="16"/>
        </w:rPr>
        <w:t>), nitrogen dioxide (NO</w:t>
      </w:r>
      <w:r w:rsidRPr="00343FAC">
        <w:rPr>
          <w:rFonts w:ascii="Calibri Light" w:hAnsi="Calibri Light" w:cs="Calibri Light"/>
          <w:sz w:val="16"/>
          <w:szCs w:val="16"/>
          <w:vertAlign w:val="subscript"/>
        </w:rPr>
        <w:t>2</w:t>
      </w:r>
      <w:r w:rsidRPr="00343FAC">
        <w:rPr>
          <w:rFonts w:ascii="Calibri Light" w:hAnsi="Calibri Light" w:cs="Calibri Light"/>
          <w:sz w:val="16"/>
          <w:szCs w:val="16"/>
        </w:rPr>
        <w:t>), ozone (O</w:t>
      </w:r>
      <w:r w:rsidRPr="00343FAC">
        <w:rPr>
          <w:rFonts w:ascii="Calibri Light" w:hAnsi="Calibri Light" w:cs="Calibri Light"/>
          <w:sz w:val="16"/>
          <w:szCs w:val="16"/>
          <w:vertAlign w:val="subscript"/>
        </w:rPr>
        <w:t>3</w:t>
      </w:r>
      <w:r w:rsidRPr="00343FAC">
        <w:rPr>
          <w:rFonts w:ascii="Calibri Light" w:hAnsi="Calibri Light" w:cs="Calibri Light"/>
          <w:sz w:val="16"/>
          <w:szCs w:val="16"/>
        </w:rPr>
        <w:t>) and all-cause and cause-specific mortality: Systematic review and meta-analysis</w:t>
      </w:r>
      <w:r w:rsidRPr="00343FAC">
        <w:rPr>
          <w:rFonts w:ascii="Calibri Light" w:hAnsi="Calibri Light" w:cs="Calibri Light"/>
          <w:i/>
          <w:iCs/>
          <w:sz w:val="16"/>
          <w:szCs w:val="16"/>
        </w:rPr>
        <w:t>.</w:t>
      </w:r>
      <w:r w:rsidRPr="00343FAC">
        <w:rPr>
          <w:rFonts w:ascii="Calibri Light" w:hAnsi="Calibri Light" w:cs="Calibri Light"/>
          <w:sz w:val="16"/>
          <w:szCs w:val="16"/>
        </w:rPr>
        <w:t xml:space="preserve"> </w:t>
      </w:r>
      <w:r w:rsidRPr="00343FAC">
        <w:rPr>
          <w:rFonts w:ascii="Calibri Light" w:hAnsi="Calibri Light" w:cs="Calibri Light"/>
          <w:i/>
          <w:iCs/>
          <w:sz w:val="16"/>
          <w:szCs w:val="16"/>
        </w:rPr>
        <w:t>Env Int</w:t>
      </w:r>
      <w:r w:rsidRPr="00343FAC">
        <w:rPr>
          <w:rFonts w:ascii="Calibri Light" w:hAnsi="Calibri Light" w:cs="Calibri Light"/>
          <w:sz w:val="16"/>
          <w:szCs w:val="16"/>
        </w:rPr>
        <w:t xml:space="preserve">. Vol 142. September 2020. 105876. </w:t>
      </w:r>
      <w:r w:rsidRPr="00343FAC">
        <w:rPr>
          <w:rFonts w:ascii="Calibri Light" w:eastAsiaTheme="majorEastAsia" w:hAnsi="Calibri Light" w:cs="Calibri Light"/>
          <w:sz w:val="16"/>
          <w:szCs w:val="16"/>
        </w:rPr>
        <w:t>doi.org/10.1016/j.envint.2020.105876</w:t>
      </w:r>
    </w:p>
    <w:p w14:paraId="442F8181" w14:textId="1E47FE69" w:rsidR="00B408BF" w:rsidRPr="0054235D" w:rsidRDefault="00584CFF" w:rsidP="00584CFF">
      <w:pPr>
        <w:ind w:left="426" w:hanging="426"/>
        <w:jc w:val="left"/>
        <w:rPr>
          <w:rFonts w:ascii="Calibri Light" w:eastAsiaTheme="minorHAnsi" w:hAnsi="Calibri Light" w:cs="Calibri Light"/>
          <w:sz w:val="16"/>
          <w:szCs w:val="16"/>
          <w:lang w:eastAsia="en-US"/>
        </w:rPr>
      </w:pPr>
      <w:r w:rsidRPr="00343FAC">
        <w:rPr>
          <w:rFonts w:ascii="Calibri Light" w:hAnsi="Calibri Light" w:cs="Calibri Light"/>
          <w:sz w:val="16"/>
          <w:szCs w:val="16"/>
        </w:rPr>
        <w:t>Orellano P., Reynoso J., Quaranta N., 2021.</w:t>
      </w:r>
      <w:r w:rsidRPr="00343FAC">
        <w:rPr>
          <w:rFonts w:ascii="Calibri Light" w:hAnsi="Calibri Light" w:cs="Calibri Light"/>
          <w:b/>
          <w:bCs/>
          <w:sz w:val="16"/>
          <w:szCs w:val="16"/>
        </w:rPr>
        <w:t xml:space="preserve"> </w:t>
      </w:r>
      <w:r w:rsidRPr="00343FAC">
        <w:rPr>
          <w:rFonts w:ascii="Calibri Light" w:hAnsi="Calibri Light" w:cs="Calibri Light"/>
          <w:sz w:val="16"/>
          <w:szCs w:val="16"/>
        </w:rPr>
        <w:t>Short-Term exposure to sulphur dioxide (SO</w:t>
      </w:r>
      <w:r w:rsidRPr="00343FAC">
        <w:rPr>
          <w:rFonts w:ascii="Calibri Light" w:hAnsi="Calibri Light" w:cs="Calibri Light"/>
          <w:sz w:val="16"/>
          <w:szCs w:val="16"/>
          <w:vertAlign w:val="subscript"/>
        </w:rPr>
        <w:t>2</w:t>
      </w:r>
      <w:r w:rsidRPr="00343FAC">
        <w:rPr>
          <w:rFonts w:ascii="Calibri Light" w:hAnsi="Calibri Light" w:cs="Calibri Light"/>
          <w:sz w:val="16"/>
          <w:szCs w:val="16"/>
        </w:rPr>
        <w:t>) and all-cause and respiratory mortality: A systematic review and meta-analysis</w:t>
      </w:r>
      <w:r w:rsidRPr="00343FAC">
        <w:rPr>
          <w:rFonts w:ascii="Calibri Light" w:hAnsi="Calibri Light" w:cs="Calibri Light"/>
          <w:i/>
          <w:iCs/>
          <w:sz w:val="16"/>
          <w:szCs w:val="16"/>
        </w:rPr>
        <w:t>.</w:t>
      </w:r>
      <w:r w:rsidRPr="00343FAC">
        <w:rPr>
          <w:rFonts w:ascii="Calibri Light" w:hAnsi="Calibri Light" w:cs="Calibri Light"/>
          <w:sz w:val="16"/>
          <w:szCs w:val="16"/>
        </w:rPr>
        <w:t xml:space="preserve"> </w:t>
      </w:r>
      <w:r w:rsidRPr="00343FAC">
        <w:rPr>
          <w:rFonts w:ascii="Calibri Light" w:hAnsi="Calibri Light" w:cs="Calibri Light"/>
          <w:i/>
          <w:iCs/>
          <w:sz w:val="16"/>
          <w:szCs w:val="16"/>
        </w:rPr>
        <w:t>Env Int</w:t>
      </w:r>
      <w:r w:rsidRPr="00343FAC">
        <w:rPr>
          <w:rFonts w:ascii="Calibri Light" w:hAnsi="Calibri Light" w:cs="Calibri Light"/>
          <w:sz w:val="16"/>
          <w:szCs w:val="16"/>
        </w:rPr>
        <w:t xml:space="preserve">. Vol 150. February 2021. 106434. DOI: </w:t>
      </w:r>
      <w:hyperlink r:id="rId12" w:tgtFrame="_blank" w:history="1">
        <w:r w:rsidRPr="00343FAC">
          <w:rPr>
            <w:rFonts w:ascii="Calibri Light" w:hAnsi="Calibri Light" w:cs="Calibri Light"/>
            <w:sz w:val="16"/>
            <w:szCs w:val="16"/>
          </w:rPr>
          <w:t xml:space="preserve">10.1016/j.envint.2021.106434 </w:t>
        </w:r>
        <w:r w:rsidRPr="00343FAC">
          <w:rPr>
            <w:rStyle w:val="Hyperlink"/>
            <w:rFonts w:ascii="Calibri Light" w:hAnsi="Calibri Light" w:cs="Calibri Light"/>
            <w:sz w:val="16"/>
            <w:szCs w:val="16"/>
          </w:rPr>
          <w:t xml:space="preserve"> </w:t>
        </w:r>
      </w:hyperlink>
    </w:p>
    <w:p w14:paraId="313A8C88" w14:textId="7AE90C20" w:rsidR="00C228E5" w:rsidRPr="00400D0B" w:rsidRDefault="00584CFF" w:rsidP="00C228E5">
      <w:pPr>
        <w:ind w:left="567" w:hanging="567"/>
        <w:jc w:val="left"/>
        <w:rPr>
          <w:rFonts w:ascii="Calibri Light" w:eastAsia="MS Mincho" w:hAnsi="Calibri Light" w:cs="Times New Roman"/>
          <w:sz w:val="16"/>
          <w:szCs w:val="16"/>
          <w:lang w:eastAsia="en-US"/>
        </w:rPr>
      </w:pPr>
      <w:r>
        <w:rPr>
          <w:rFonts w:ascii="Calibri Light" w:eastAsiaTheme="minorHAnsi" w:hAnsi="Calibri Light" w:cs="Calibri Light"/>
          <w:sz w:val="16"/>
          <w:szCs w:val="16"/>
          <w:lang w:eastAsia="en-US"/>
        </w:rPr>
        <w:t>W</w:t>
      </w:r>
      <w:r w:rsidRPr="00CA0A37">
        <w:rPr>
          <w:rFonts w:ascii="Calibri Light" w:eastAsiaTheme="minorHAnsi" w:hAnsi="Calibri Light" w:cs="Calibri Light"/>
          <w:sz w:val="16"/>
          <w:szCs w:val="16"/>
          <w:lang w:eastAsia="en-US"/>
        </w:rPr>
        <w:t xml:space="preserve">HO, 2021. </w:t>
      </w:r>
      <w:r w:rsidRPr="00441B8C">
        <w:rPr>
          <w:rFonts w:ascii="Calibri Light" w:eastAsiaTheme="minorHAnsi" w:hAnsi="Calibri Light" w:cs="Calibri Light"/>
          <w:i/>
          <w:iCs/>
          <w:sz w:val="16"/>
          <w:szCs w:val="16"/>
          <w:lang w:eastAsia="en-US"/>
        </w:rPr>
        <w:t>WHO global air quality guidelines. Particulate matter (PM</w:t>
      </w:r>
      <w:r w:rsidRPr="00441B8C">
        <w:rPr>
          <w:rFonts w:ascii="Calibri Light" w:eastAsiaTheme="minorHAnsi" w:hAnsi="Calibri Light" w:cs="Calibri Light"/>
          <w:i/>
          <w:iCs/>
          <w:sz w:val="16"/>
          <w:szCs w:val="16"/>
          <w:vertAlign w:val="subscript"/>
          <w:lang w:eastAsia="en-US"/>
        </w:rPr>
        <w:t>2.5</w:t>
      </w:r>
      <w:r w:rsidRPr="00441B8C">
        <w:rPr>
          <w:rFonts w:ascii="Calibri Light" w:eastAsiaTheme="minorHAnsi" w:hAnsi="Calibri Light" w:cs="Calibri Light"/>
          <w:i/>
          <w:iCs/>
          <w:sz w:val="16"/>
          <w:szCs w:val="16"/>
          <w:lang w:eastAsia="en-US"/>
        </w:rPr>
        <w:t xml:space="preserve"> and PM</w:t>
      </w:r>
      <w:r w:rsidRPr="00441B8C">
        <w:rPr>
          <w:rFonts w:ascii="Calibri Light" w:eastAsiaTheme="minorHAnsi" w:hAnsi="Calibri Light" w:cs="Calibri Light"/>
          <w:i/>
          <w:iCs/>
          <w:sz w:val="16"/>
          <w:szCs w:val="16"/>
          <w:vertAlign w:val="subscript"/>
          <w:lang w:eastAsia="en-US"/>
        </w:rPr>
        <w:t>10</w:t>
      </w:r>
      <w:r w:rsidRPr="00441B8C">
        <w:rPr>
          <w:rFonts w:ascii="Calibri Light" w:eastAsiaTheme="minorHAnsi" w:hAnsi="Calibri Light" w:cs="Calibri Light"/>
          <w:i/>
          <w:iCs/>
          <w:sz w:val="16"/>
          <w:szCs w:val="16"/>
          <w:lang w:eastAsia="en-US"/>
        </w:rPr>
        <w:t>), ozone, nitrogen dioxide, sulfur dioxide and carbon monoxide</w:t>
      </w:r>
      <w:r w:rsidRPr="00CA0A37">
        <w:rPr>
          <w:rFonts w:ascii="Calibri Light" w:eastAsiaTheme="minorHAnsi" w:hAnsi="Calibri Light" w:cs="Calibri Light"/>
          <w:sz w:val="16"/>
          <w:szCs w:val="16"/>
          <w:lang w:eastAsia="en-US"/>
        </w:rPr>
        <w:t xml:space="preserve">. Geneva. </w:t>
      </w:r>
      <w:r>
        <w:rPr>
          <w:rFonts w:ascii="Calibri Light" w:eastAsiaTheme="minorHAnsi" w:hAnsi="Calibri Light" w:cs="Calibri Light"/>
          <w:sz w:val="16"/>
          <w:szCs w:val="16"/>
          <w:lang w:eastAsia="en-US"/>
        </w:rPr>
        <w:t xml:space="preserve">[Online: </w:t>
      </w:r>
      <w:hyperlink r:id="rId13" w:history="1">
        <w:r w:rsidRPr="00877C58">
          <w:rPr>
            <w:rStyle w:val="Hyperlink"/>
            <w:rFonts w:ascii="Calibri Light" w:eastAsiaTheme="minorHAnsi" w:hAnsi="Calibri Light" w:cs="Calibri Light"/>
            <w:sz w:val="16"/>
            <w:szCs w:val="16"/>
            <w:lang w:eastAsia="en-US"/>
          </w:rPr>
          <w:t>www.who.int</w:t>
        </w:r>
      </w:hyperlink>
      <w:r>
        <w:rPr>
          <w:rFonts w:ascii="Calibri Light" w:eastAsiaTheme="minorHAnsi" w:hAnsi="Calibri Light" w:cs="Calibri Light"/>
          <w:sz w:val="16"/>
          <w:szCs w:val="16"/>
          <w:lang w:eastAsia="en-US"/>
        </w:rPr>
        <w:t>]</w:t>
      </w:r>
    </w:p>
    <w:p w14:paraId="52B08353" w14:textId="77777777" w:rsidR="00073446" w:rsidRDefault="00584CFF" w:rsidP="00AE0122">
      <w:pPr>
        <w:ind w:left="426" w:hanging="426"/>
        <w:jc w:val="left"/>
        <w:rPr>
          <w:rFonts w:ascii="Calibri Light" w:eastAsiaTheme="majorEastAsia" w:hAnsi="Calibri Light" w:cs="Calibri Light"/>
          <w:sz w:val="16"/>
          <w:szCs w:val="16"/>
        </w:rPr>
      </w:pPr>
      <w:r w:rsidRPr="00343FAC">
        <w:rPr>
          <w:rFonts w:ascii="Calibri Light" w:hAnsi="Calibri Light" w:cs="Calibri Light"/>
          <w:sz w:val="16"/>
          <w:szCs w:val="16"/>
        </w:rPr>
        <w:t>Zheng Xue-yan., Orellano Pablo, Lin Hua-liang, Jiang Mei, Guan Wei-</w:t>
      </w:r>
      <w:proofErr w:type="spellStart"/>
      <w:r w:rsidRPr="00343FAC">
        <w:rPr>
          <w:rFonts w:ascii="Calibri Light" w:hAnsi="Calibri Light" w:cs="Calibri Light"/>
          <w:sz w:val="16"/>
          <w:szCs w:val="16"/>
        </w:rPr>
        <w:t>jie</w:t>
      </w:r>
      <w:proofErr w:type="spellEnd"/>
      <w:r w:rsidRPr="00343FAC">
        <w:rPr>
          <w:rFonts w:ascii="Calibri Light" w:hAnsi="Calibri Light" w:cs="Calibri Light"/>
          <w:sz w:val="16"/>
          <w:szCs w:val="16"/>
        </w:rPr>
        <w:t xml:space="preserve">, 2021. Short-term exposure to ozone, nitrogen dioxide, and sulphur dioxide and emergency department visits and hospital admissions due to asthma. A systematic review and meta-analysis. </w:t>
      </w:r>
      <w:r w:rsidRPr="00343FAC">
        <w:rPr>
          <w:rFonts w:ascii="Calibri Light" w:hAnsi="Calibri Light" w:cs="Calibri Light"/>
          <w:i/>
          <w:iCs/>
          <w:sz w:val="16"/>
          <w:szCs w:val="16"/>
        </w:rPr>
        <w:t>Env Int</w:t>
      </w:r>
      <w:r w:rsidRPr="00343FAC">
        <w:rPr>
          <w:rFonts w:ascii="Calibri Light" w:hAnsi="Calibri Light" w:cs="Calibri Light"/>
          <w:sz w:val="16"/>
          <w:szCs w:val="16"/>
        </w:rPr>
        <w:t>. Vol 150. February. 106435. d</w:t>
      </w:r>
      <w:r w:rsidRPr="00343FAC">
        <w:rPr>
          <w:rFonts w:ascii="Calibri Light" w:eastAsiaTheme="majorEastAsia" w:hAnsi="Calibri Light" w:cs="Calibri Light"/>
          <w:sz w:val="16"/>
          <w:szCs w:val="16"/>
        </w:rPr>
        <w:t>oi.org/10.1016/j.envint.2021.106</w:t>
      </w:r>
    </w:p>
    <w:p w14:paraId="2374CC7E" w14:textId="4AAEABBA" w:rsidR="007E7DE6" w:rsidRPr="00073446" w:rsidRDefault="007E7DE6" w:rsidP="007E7DE6">
      <w:pPr>
        <w:jc w:val="left"/>
        <w:rPr>
          <w:rFonts w:ascii="Calibri Light" w:eastAsiaTheme="majorEastAsia" w:hAnsi="Calibri Light" w:cs="Calibri Light"/>
          <w:sz w:val="16"/>
          <w:szCs w:val="16"/>
        </w:rPr>
        <w:sectPr w:rsidR="007E7DE6" w:rsidRPr="00073446" w:rsidSect="00E2309C">
          <w:type w:val="continuous"/>
          <w:pgSz w:w="16838" w:h="11906" w:orient="landscape"/>
          <w:pgMar w:top="1440" w:right="1440" w:bottom="1440" w:left="1440" w:header="708" w:footer="708" w:gutter="0"/>
          <w:cols w:num="2" w:space="708"/>
          <w:docGrid w:linePitch="360"/>
        </w:sectPr>
      </w:pPr>
    </w:p>
    <w:p w14:paraId="488E271C" w14:textId="56876684" w:rsidR="00F325A1" w:rsidRDefault="00F325A1" w:rsidP="007E7DE6"/>
    <w:sectPr w:rsidR="00F325A1" w:rsidSect="00E2309C">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78DD" w14:textId="77777777" w:rsidR="00BA5BB4" w:rsidRDefault="00BA5BB4" w:rsidP="00B43DD8">
      <w:r>
        <w:separator/>
      </w:r>
    </w:p>
  </w:endnote>
  <w:endnote w:type="continuationSeparator" w:id="0">
    <w:p w14:paraId="01C7CD1D" w14:textId="77777777" w:rsidR="00BA5BB4" w:rsidRDefault="00BA5BB4" w:rsidP="00B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76DD" w14:textId="77777777" w:rsidR="00BA5BB4" w:rsidRDefault="00BA5BB4" w:rsidP="00B43DD8">
      <w:r>
        <w:separator/>
      </w:r>
    </w:p>
  </w:footnote>
  <w:footnote w:type="continuationSeparator" w:id="0">
    <w:p w14:paraId="599E7D8D" w14:textId="77777777" w:rsidR="00BA5BB4" w:rsidRDefault="00BA5BB4" w:rsidP="00B43DD8">
      <w:r>
        <w:continuationSeparator/>
      </w:r>
    </w:p>
  </w:footnote>
  <w:footnote w:id="1">
    <w:p w14:paraId="5171651A" w14:textId="77777777" w:rsidR="00584CFF" w:rsidRPr="00584CFF" w:rsidRDefault="00584CFF" w:rsidP="00584CFF">
      <w:pPr>
        <w:pStyle w:val="FootnoteText"/>
        <w:rPr>
          <w:rFonts w:ascii="Calibri Light" w:hAnsi="Calibri Light" w:cs="Calibri Light"/>
          <w:sz w:val="16"/>
          <w:szCs w:val="16"/>
        </w:rPr>
      </w:pPr>
      <w:r w:rsidRPr="00584CFF">
        <w:rPr>
          <w:rStyle w:val="FootnoteReference"/>
          <w:rFonts w:ascii="Calibri Light" w:hAnsi="Calibri Light" w:cs="Calibri Light"/>
          <w:sz w:val="16"/>
          <w:szCs w:val="16"/>
        </w:rPr>
        <w:footnoteRef/>
      </w:r>
      <w:r w:rsidRPr="00584CFF">
        <w:rPr>
          <w:rFonts w:ascii="Calibri Light" w:hAnsi="Calibri Light" w:cs="Calibri Light"/>
          <w:sz w:val="16"/>
          <w:szCs w:val="16"/>
        </w:rPr>
        <w:t xml:space="preserve"> For SO</w:t>
      </w:r>
      <w:r w:rsidRPr="00584CFF">
        <w:rPr>
          <w:rFonts w:ascii="Calibri Light" w:hAnsi="Calibri Light" w:cs="Calibri Light"/>
          <w:sz w:val="16"/>
          <w:szCs w:val="16"/>
          <w:vertAlign w:val="subscript"/>
        </w:rPr>
        <w:t>2</w:t>
      </w:r>
      <w:r w:rsidRPr="00584CFF">
        <w:rPr>
          <w:rFonts w:ascii="Calibri Light" w:hAnsi="Calibri Light" w:cs="Calibri Light"/>
          <w:sz w:val="16"/>
          <w:szCs w:val="16"/>
        </w:rPr>
        <w:t xml:space="preserve"> there is no long-term </w:t>
      </w:r>
      <w:proofErr w:type="gramStart"/>
      <w:r w:rsidRPr="00584CFF">
        <w:rPr>
          <w:rFonts w:ascii="Calibri Light" w:hAnsi="Calibri Light" w:cs="Calibri Light"/>
          <w:sz w:val="16"/>
          <w:szCs w:val="16"/>
        </w:rPr>
        <w:t>AQG</w:t>
      </w:r>
      <w:proofErr w:type="gramEnd"/>
      <w:r w:rsidRPr="00584CFF">
        <w:rPr>
          <w:rFonts w:ascii="Calibri Light" w:hAnsi="Calibri Light" w:cs="Calibri Light"/>
          <w:sz w:val="16"/>
          <w:szCs w:val="16"/>
        </w:rPr>
        <w:t xml:space="preserve"> so the approach has been to select a high percentile daily value consistent with other pollutants, whereby the estimated excess mortality at days with concentrations at the proposed 24-hour guideline is roughly comparable across all pollutants.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634"/>
    <w:multiLevelType w:val="hybridMultilevel"/>
    <w:tmpl w:val="AD645F5C"/>
    <w:lvl w:ilvl="0" w:tplc="0900C80A">
      <w:start w:val="1"/>
      <w:numFmt w:val="decimal"/>
      <w:pStyle w:val="ESRReferencesNumbering"/>
      <w:lvlText w:val="%1."/>
      <w:lvlJc w:val="left"/>
      <w:pPr>
        <w:ind w:left="652" w:hanging="652"/>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215A1F3F"/>
    <w:multiLevelType w:val="hybridMultilevel"/>
    <w:tmpl w:val="DD14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E2DBE"/>
    <w:multiLevelType w:val="hybridMultilevel"/>
    <w:tmpl w:val="0EFE9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2843203">
    <w:abstractNumId w:val="1"/>
  </w:num>
  <w:num w:numId="2" w16cid:durableId="820000553">
    <w:abstractNumId w:val="2"/>
  </w:num>
  <w:num w:numId="3" w16cid:durableId="104865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D8"/>
    <w:rsid w:val="00044390"/>
    <w:rsid w:val="00073446"/>
    <w:rsid w:val="00094F09"/>
    <w:rsid w:val="001402D1"/>
    <w:rsid w:val="001A05EE"/>
    <w:rsid w:val="00204A89"/>
    <w:rsid w:val="00207350"/>
    <w:rsid w:val="00280F90"/>
    <w:rsid w:val="002B1124"/>
    <w:rsid w:val="002F4F10"/>
    <w:rsid w:val="00357602"/>
    <w:rsid w:val="00421ED9"/>
    <w:rsid w:val="0043214C"/>
    <w:rsid w:val="00446A42"/>
    <w:rsid w:val="005554F1"/>
    <w:rsid w:val="005631A8"/>
    <w:rsid w:val="00584CFF"/>
    <w:rsid w:val="00606F57"/>
    <w:rsid w:val="00672E41"/>
    <w:rsid w:val="0069460E"/>
    <w:rsid w:val="00731110"/>
    <w:rsid w:val="00757E3C"/>
    <w:rsid w:val="007E7DE6"/>
    <w:rsid w:val="008331F9"/>
    <w:rsid w:val="008C2620"/>
    <w:rsid w:val="0092762B"/>
    <w:rsid w:val="00932BEB"/>
    <w:rsid w:val="00945D94"/>
    <w:rsid w:val="00A71961"/>
    <w:rsid w:val="00A72B6F"/>
    <w:rsid w:val="00A86B58"/>
    <w:rsid w:val="00AE0122"/>
    <w:rsid w:val="00B04648"/>
    <w:rsid w:val="00B0484F"/>
    <w:rsid w:val="00B357EF"/>
    <w:rsid w:val="00B408BF"/>
    <w:rsid w:val="00B43DD8"/>
    <w:rsid w:val="00B56BBD"/>
    <w:rsid w:val="00B95D58"/>
    <w:rsid w:val="00BA5BB4"/>
    <w:rsid w:val="00BE4403"/>
    <w:rsid w:val="00BF4A0F"/>
    <w:rsid w:val="00C228E5"/>
    <w:rsid w:val="00CA5B59"/>
    <w:rsid w:val="00CF11EA"/>
    <w:rsid w:val="00D0469C"/>
    <w:rsid w:val="00D108DE"/>
    <w:rsid w:val="00D627E7"/>
    <w:rsid w:val="00DC389D"/>
    <w:rsid w:val="00E13B2C"/>
    <w:rsid w:val="00E2309C"/>
    <w:rsid w:val="00E55B9D"/>
    <w:rsid w:val="00E91AC6"/>
    <w:rsid w:val="00F325A1"/>
    <w:rsid w:val="00F74DEF"/>
    <w:rsid w:val="00FA0BF7"/>
    <w:rsid w:val="00FD2C05"/>
    <w:rsid w:val="00FD6260"/>
    <w:rsid w:val="00FE4C37"/>
    <w:rsid w:val="00FF5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FE77"/>
  <w15:chartTrackingRefBased/>
  <w15:docId w15:val="{C23012D0-A177-4D2D-97D3-D0551DEB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D8"/>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rmal"/>
    <w:link w:val="Heading1Char"/>
    <w:uiPriority w:val="9"/>
    <w:qFormat/>
    <w:rsid w:val="00B43DD8"/>
    <w:pPr>
      <w:keepNext/>
      <w:spacing w:before="120" w:after="120"/>
      <w:jc w:val="left"/>
      <w:outlineLvl w:val="0"/>
    </w:pPr>
    <w:rPr>
      <w:rFonts w:ascii="Calibri Light" w:eastAsiaTheme="minorHAnsi" w:hAnsi="Calibri Light" w:cs="Calibri Light"/>
      <w:b/>
      <w:color w:val="538135" w:themeColor="accent6"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D8"/>
    <w:rPr>
      <w:rFonts w:ascii="Calibri Light" w:hAnsi="Calibri Light" w:cs="Calibri Light"/>
      <w:b/>
      <w:color w:val="538135" w:themeColor="accent6" w:themeShade="BF"/>
      <w:sz w:val="24"/>
      <w:szCs w:val="24"/>
    </w:rPr>
  </w:style>
  <w:style w:type="paragraph" w:styleId="ListParagraph">
    <w:name w:val="List Paragraph"/>
    <w:basedOn w:val="Normal"/>
    <w:uiPriority w:val="34"/>
    <w:qFormat/>
    <w:rsid w:val="00B43DD8"/>
    <w:pPr>
      <w:spacing w:after="200" w:line="276" w:lineRule="auto"/>
      <w:ind w:left="720"/>
      <w:contextualSpacing/>
      <w:jc w:val="left"/>
    </w:pPr>
    <w:rPr>
      <w:rFonts w:ascii="Trebuchet MS" w:eastAsiaTheme="minorHAnsi" w:hAnsi="Trebuchet MS" w:cstheme="minorBidi"/>
      <w:sz w:val="22"/>
      <w:szCs w:val="22"/>
      <w:lang w:eastAsia="en-US"/>
    </w:rPr>
  </w:style>
  <w:style w:type="paragraph" w:styleId="Caption">
    <w:name w:val="caption"/>
    <w:basedOn w:val="Normal"/>
    <w:next w:val="Normal"/>
    <w:link w:val="CaptionChar"/>
    <w:uiPriority w:val="35"/>
    <w:qFormat/>
    <w:rsid w:val="00B43DD8"/>
    <w:pPr>
      <w:spacing w:before="240" w:after="120"/>
      <w:jc w:val="left"/>
    </w:pPr>
    <w:rPr>
      <w:rFonts w:ascii="Arial Bold" w:eastAsiaTheme="minorHAnsi" w:hAnsi="Arial Bold" w:cstheme="minorBidi"/>
      <w:b/>
      <w:iCs/>
      <w:sz w:val="18"/>
      <w:szCs w:val="18"/>
      <w:lang w:eastAsia="en-US"/>
    </w:rPr>
  </w:style>
  <w:style w:type="character" w:customStyle="1" w:styleId="CaptionChar">
    <w:name w:val="Caption Char"/>
    <w:basedOn w:val="DefaultParagraphFont"/>
    <w:link w:val="Caption"/>
    <w:uiPriority w:val="35"/>
    <w:rsid w:val="00B43DD8"/>
    <w:rPr>
      <w:rFonts w:ascii="Arial Bold" w:hAnsi="Arial Bold"/>
      <w:b/>
      <w:iCs/>
      <w:sz w:val="18"/>
      <w:szCs w:val="18"/>
    </w:rPr>
  </w:style>
  <w:style w:type="paragraph" w:styleId="FootnoteText">
    <w:name w:val="footnote text"/>
    <w:basedOn w:val="Normal"/>
    <w:link w:val="FootnoteTextChar"/>
    <w:uiPriority w:val="99"/>
    <w:unhideWhenUsed/>
    <w:rsid w:val="00B43DD8"/>
    <w:pPr>
      <w:jc w:val="left"/>
    </w:pPr>
    <w:rPr>
      <w:rFonts w:ascii="Trebuchet MS" w:eastAsiaTheme="minorHAnsi" w:hAnsi="Trebuchet MS" w:cstheme="minorBidi"/>
      <w:sz w:val="20"/>
      <w:lang w:eastAsia="en-US"/>
    </w:rPr>
  </w:style>
  <w:style w:type="character" w:customStyle="1" w:styleId="FootnoteTextChar">
    <w:name w:val="Footnote Text Char"/>
    <w:basedOn w:val="DefaultParagraphFont"/>
    <w:link w:val="FootnoteText"/>
    <w:uiPriority w:val="99"/>
    <w:rsid w:val="00B43DD8"/>
    <w:rPr>
      <w:rFonts w:ascii="Trebuchet MS" w:hAnsi="Trebuchet MS"/>
      <w:sz w:val="20"/>
      <w:szCs w:val="20"/>
    </w:rPr>
  </w:style>
  <w:style w:type="character" w:styleId="FootnoteReference">
    <w:name w:val="footnote reference"/>
    <w:basedOn w:val="DefaultParagraphFont"/>
    <w:uiPriority w:val="99"/>
    <w:semiHidden/>
    <w:unhideWhenUsed/>
    <w:rsid w:val="00B43DD8"/>
    <w:rPr>
      <w:vertAlign w:val="superscript"/>
    </w:rPr>
  </w:style>
  <w:style w:type="character" w:customStyle="1" w:styleId="hlfld-contribauthor">
    <w:name w:val="hlfld-contribauthor"/>
    <w:basedOn w:val="DefaultParagraphFont"/>
    <w:rsid w:val="00C228E5"/>
    <w:rPr>
      <w:rFonts w:cs="Times New Roman"/>
    </w:rPr>
  </w:style>
  <w:style w:type="character" w:customStyle="1" w:styleId="nlmgiven-names">
    <w:name w:val="nlm_given-names"/>
    <w:basedOn w:val="DefaultParagraphFont"/>
    <w:rsid w:val="00C228E5"/>
    <w:rPr>
      <w:rFonts w:cs="Times New Roman"/>
    </w:rPr>
  </w:style>
  <w:style w:type="character" w:customStyle="1" w:styleId="nlmyear">
    <w:name w:val="nlm_year"/>
    <w:basedOn w:val="DefaultParagraphFont"/>
    <w:rsid w:val="00C228E5"/>
    <w:rPr>
      <w:rFonts w:cs="Times New Roman"/>
    </w:rPr>
  </w:style>
  <w:style w:type="character" w:customStyle="1" w:styleId="nlmarticle-title">
    <w:name w:val="nlm_article-title"/>
    <w:basedOn w:val="DefaultParagraphFont"/>
    <w:rsid w:val="00C228E5"/>
    <w:rPr>
      <w:rFonts w:cs="Times New Roman"/>
    </w:rPr>
  </w:style>
  <w:style w:type="character" w:customStyle="1" w:styleId="nlmfpage">
    <w:name w:val="nlm_fpage"/>
    <w:basedOn w:val="DefaultParagraphFont"/>
    <w:rsid w:val="00C228E5"/>
    <w:rPr>
      <w:rFonts w:cs="Times New Roman"/>
    </w:rPr>
  </w:style>
  <w:style w:type="character" w:customStyle="1" w:styleId="nlmlpage">
    <w:name w:val="nlm_lpage"/>
    <w:basedOn w:val="DefaultParagraphFont"/>
    <w:rsid w:val="00C228E5"/>
    <w:rPr>
      <w:rFonts w:cs="Times New Roman"/>
    </w:rPr>
  </w:style>
  <w:style w:type="character" w:styleId="Hyperlink">
    <w:name w:val="Hyperlink"/>
    <w:basedOn w:val="DefaultParagraphFont"/>
    <w:uiPriority w:val="99"/>
    <w:rsid w:val="00A72B6F"/>
    <w:rPr>
      <w:color w:val="0000FF"/>
      <w:u w:val="single"/>
    </w:rPr>
  </w:style>
  <w:style w:type="character" w:styleId="CommentReference">
    <w:name w:val="annotation reference"/>
    <w:basedOn w:val="DefaultParagraphFont"/>
    <w:uiPriority w:val="99"/>
    <w:semiHidden/>
    <w:unhideWhenUsed/>
    <w:rsid w:val="008331F9"/>
    <w:rPr>
      <w:sz w:val="16"/>
      <w:szCs w:val="16"/>
    </w:rPr>
  </w:style>
  <w:style w:type="paragraph" w:styleId="CommentText">
    <w:name w:val="annotation text"/>
    <w:basedOn w:val="Normal"/>
    <w:link w:val="CommentTextChar"/>
    <w:uiPriority w:val="99"/>
    <w:semiHidden/>
    <w:unhideWhenUsed/>
    <w:rsid w:val="008331F9"/>
    <w:rPr>
      <w:sz w:val="20"/>
    </w:rPr>
  </w:style>
  <w:style w:type="character" w:customStyle="1" w:styleId="CommentTextChar">
    <w:name w:val="Comment Text Char"/>
    <w:basedOn w:val="DefaultParagraphFont"/>
    <w:link w:val="CommentText"/>
    <w:uiPriority w:val="99"/>
    <w:semiHidden/>
    <w:rsid w:val="008331F9"/>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8331F9"/>
    <w:rPr>
      <w:b/>
      <w:bCs/>
    </w:rPr>
  </w:style>
  <w:style w:type="character" w:customStyle="1" w:styleId="CommentSubjectChar">
    <w:name w:val="Comment Subject Char"/>
    <w:basedOn w:val="CommentTextChar"/>
    <w:link w:val="CommentSubject"/>
    <w:uiPriority w:val="99"/>
    <w:semiHidden/>
    <w:rsid w:val="008331F9"/>
    <w:rPr>
      <w:rFonts w:ascii="Arial" w:eastAsia="Times New Roman" w:hAnsi="Arial" w:cs="Arial"/>
      <w:b/>
      <w:bCs/>
      <w:sz w:val="20"/>
      <w:szCs w:val="20"/>
      <w:lang w:eastAsia="en-NZ"/>
    </w:rPr>
  </w:style>
  <w:style w:type="paragraph" w:styleId="Revision">
    <w:name w:val="Revision"/>
    <w:hidden/>
    <w:uiPriority w:val="99"/>
    <w:semiHidden/>
    <w:rsid w:val="008331F9"/>
    <w:pPr>
      <w:spacing w:after="0" w:line="240" w:lineRule="auto"/>
    </w:pPr>
    <w:rPr>
      <w:rFonts w:ascii="Arial" w:eastAsia="Times New Roman" w:hAnsi="Arial" w:cs="Arial"/>
      <w:sz w:val="21"/>
      <w:szCs w:val="20"/>
      <w:lang w:eastAsia="en-NZ"/>
    </w:rPr>
  </w:style>
  <w:style w:type="paragraph" w:styleId="BalloonText">
    <w:name w:val="Balloon Text"/>
    <w:basedOn w:val="Normal"/>
    <w:link w:val="BalloonTextChar"/>
    <w:uiPriority w:val="99"/>
    <w:semiHidden/>
    <w:unhideWhenUsed/>
    <w:rsid w:val="00833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F9"/>
    <w:rPr>
      <w:rFonts w:ascii="Segoe UI" w:eastAsia="Times New Roman" w:hAnsi="Segoe UI" w:cs="Segoe UI"/>
      <w:sz w:val="18"/>
      <w:szCs w:val="18"/>
      <w:lang w:eastAsia="en-NZ"/>
    </w:rPr>
  </w:style>
  <w:style w:type="character" w:customStyle="1" w:styleId="spellingerror">
    <w:name w:val="spellingerror"/>
    <w:basedOn w:val="DefaultParagraphFont"/>
    <w:rsid w:val="00757E3C"/>
  </w:style>
  <w:style w:type="character" w:customStyle="1" w:styleId="normaltextrun">
    <w:name w:val="normaltextrun"/>
    <w:basedOn w:val="DefaultParagraphFont"/>
    <w:rsid w:val="00757E3C"/>
  </w:style>
  <w:style w:type="paragraph" w:customStyle="1" w:styleId="ESRReferencesNumbering">
    <w:name w:val="ESR References Numbering"/>
    <w:basedOn w:val="Normal"/>
    <w:next w:val="Normal"/>
    <w:link w:val="ESRReferencesNumberingChar"/>
    <w:uiPriority w:val="2"/>
    <w:qFormat/>
    <w:rsid w:val="00584CFF"/>
    <w:pPr>
      <w:numPr>
        <w:numId w:val="3"/>
      </w:numPr>
      <w:spacing w:after="200"/>
      <w:jc w:val="left"/>
    </w:pPr>
    <w:rPr>
      <w:rFonts w:eastAsiaTheme="minorHAnsi" w:cstheme="minorBidi"/>
      <w:noProof/>
      <w:sz w:val="22"/>
      <w:szCs w:val="22"/>
      <w:lang w:eastAsia="en-US"/>
    </w:rPr>
  </w:style>
  <w:style w:type="character" w:customStyle="1" w:styleId="ESRReferencesNumberingChar">
    <w:name w:val="ESR References Numbering Char"/>
    <w:basedOn w:val="DefaultParagraphFont"/>
    <w:link w:val="ESRReferencesNumbering"/>
    <w:uiPriority w:val="2"/>
    <w:rsid w:val="00584CFF"/>
    <w:rPr>
      <w:rFonts w:ascii="Arial" w:hAnsi="Arial"/>
      <w:noProof/>
    </w:rPr>
  </w:style>
  <w:style w:type="paragraph" w:styleId="Header">
    <w:name w:val="header"/>
    <w:basedOn w:val="Normal"/>
    <w:link w:val="HeaderChar"/>
    <w:uiPriority w:val="99"/>
    <w:unhideWhenUsed/>
    <w:rsid w:val="00CF11EA"/>
    <w:pPr>
      <w:tabs>
        <w:tab w:val="center" w:pos="4513"/>
        <w:tab w:val="right" w:pos="9026"/>
      </w:tabs>
    </w:pPr>
  </w:style>
  <w:style w:type="character" w:customStyle="1" w:styleId="HeaderChar">
    <w:name w:val="Header Char"/>
    <w:basedOn w:val="DefaultParagraphFont"/>
    <w:link w:val="Header"/>
    <w:uiPriority w:val="99"/>
    <w:rsid w:val="00CF11EA"/>
    <w:rPr>
      <w:rFonts w:ascii="Arial" w:eastAsia="Times New Roman" w:hAnsi="Arial" w:cs="Arial"/>
      <w:sz w:val="21"/>
      <w:szCs w:val="20"/>
      <w:lang w:eastAsia="en-NZ"/>
    </w:rPr>
  </w:style>
  <w:style w:type="paragraph" w:styleId="Footer">
    <w:name w:val="footer"/>
    <w:basedOn w:val="Normal"/>
    <w:link w:val="FooterChar"/>
    <w:uiPriority w:val="99"/>
    <w:unhideWhenUsed/>
    <w:rsid w:val="00CF11EA"/>
    <w:pPr>
      <w:tabs>
        <w:tab w:val="center" w:pos="4513"/>
        <w:tab w:val="right" w:pos="9026"/>
      </w:tabs>
    </w:pPr>
  </w:style>
  <w:style w:type="character" w:customStyle="1" w:styleId="FooterChar">
    <w:name w:val="Footer Char"/>
    <w:basedOn w:val="DefaultParagraphFont"/>
    <w:link w:val="Footer"/>
    <w:uiPriority w:val="99"/>
    <w:rsid w:val="00CF11EA"/>
    <w:rPr>
      <w:rFonts w:ascii="Arial" w:eastAsia="Times New Roman" w:hAnsi="Arial" w:cs="Arial"/>
      <w:sz w:val="2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97892400342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envint.2021.1064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12BF34261834688F21C4F26479D80" ma:contentTypeVersion="12" ma:contentTypeDescription="Create a new document." ma:contentTypeScope="" ma:versionID="75327c1a161344eaa60ae21a54eb4177">
  <xsd:schema xmlns:xsd="http://www.w3.org/2001/XMLSchema" xmlns:xs="http://www.w3.org/2001/XMLSchema" xmlns:p="http://schemas.microsoft.com/office/2006/metadata/properties" xmlns:ns2="b1f01ee6-67ab-4709-9c22-3d73f823504e" xmlns:ns3="cc6b64aa-7196-42de-b5c8-c93871b3274a" targetNamespace="http://schemas.microsoft.com/office/2006/metadata/properties" ma:root="true" ma:fieldsID="98b3faf5b249e62e9c953110da810db3" ns2:_="" ns3:_="">
    <xsd:import namespace="b1f01ee6-67ab-4709-9c22-3d73f823504e"/>
    <xsd:import namespace="cc6b64aa-7196-42de-b5c8-c93871b32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1ee6-67ab-4709-9c22-3d73f8235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b64aa-7196-42de-b5c8-c93871b32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8DB1-5683-4720-99F5-63E201E8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1ee6-67ab-4709-9c22-3d73f823504e"/>
    <ds:schemaRef ds:uri="cc6b64aa-7196-42de-b5c8-c93871b32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C67F-EC34-48EC-BE1D-BC6A1735E572}">
  <ds:schemaRefs>
    <ds:schemaRef ds:uri="http://schemas.microsoft.com/sharepoint/v3/contenttype/forms"/>
  </ds:schemaRefs>
</ds:datastoreItem>
</file>

<file path=customXml/itemProps3.xml><?xml version="1.0" encoding="utf-8"?>
<ds:datastoreItem xmlns:ds="http://schemas.openxmlformats.org/officeDocument/2006/customXml" ds:itemID="{58A2B7CC-3FD6-4320-9D53-868E811E2B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BCA9D-7788-488E-8AD1-1D274264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ESR</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Effects of Air Pollution - Supporting Information</dc:title>
  <dc:subject/>
  <dc:creator>Belinda Cridge</dc:creator>
  <cp:keywords/>
  <dc:description/>
  <cp:lastModifiedBy>Jacqui Ritchie</cp:lastModifiedBy>
  <cp:revision>4</cp:revision>
  <cp:lastPrinted>2022-06-09T02:34:00Z</cp:lastPrinted>
  <dcterms:created xsi:type="dcterms:W3CDTF">2023-08-11T04:32:00Z</dcterms:created>
  <dcterms:modified xsi:type="dcterms:W3CDTF">2023-08-13T22:32:00Z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0x01010002712BF34261834688F21C4F26479D80</vt:lpwstr>
  </property>
</Properties>
</file>